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7" w:type="dxa"/>
        <w:tblLook w:val="0000" w:firstRow="0" w:lastRow="0" w:firstColumn="0" w:lastColumn="0" w:noHBand="0" w:noVBand="0"/>
      </w:tblPr>
      <w:tblGrid>
        <w:gridCol w:w="4111"/>
        <w:gridCol w:w="5529"/>
      </w:tblGrid>
      <w:tr w:rsidR="006A59F6" w:rsidRPr="00BB6B5D" w14:paraId="22EB0C17" w14:textId="77777777" w:rsidTr="00C05C52">
        <w:trPr>
          <w:trHeight w:val="699"/>
        </w:trPr>
        <w:tc>
          <w:tcPr>
            <w:tcW w:w="4111" w:type="dxa"/>
          </w:tcPr>
          <w:p w14:paraId="19A533A8" w14:textId="0FEAB8C7" w:rsidR="006A59F6" w:rsidRPr="00842E09" w:rsidRDefault="006A59F6" w:rsidP="00842E09">
            <w:pPr>
              <w:spacing w:after="0" w:line="240" w:lineRule="auto"/>
              <w:jc w:val="center"/>
              <w:rPr>
                <w:rFonts w:ascii="Times New Roman" w:eastAsia="Times New Roman" w:hAnsi="Times New Roman" w:cs="Times New Roman"/>
                <w:sz w:val="26"/>
                <w:szCs w:val="26"/>
              </w:rPr>
            </w:pPr>
            <w:r w:rsidRPr="00842E09">
              <w:rPr>
                <w:rFonts w:ascii="Times New Roman" w:eastAsia="Times New Roman" w:hAnsi="Times New Roman" w:cs="Times New Roman"/>
                <w:sz w:val="26"/>
                <w:szCs w:val="26"/>
              </w:rPr>
              <w:t xml:space="preserve">UBND TỈNH </w:t>
            </w:r>
            <w:r w:rsidR="00D51982" w:rsidRPr="00842E09">
              <w:rPr>
                <w:rFonts w:ascii="Times New Roman" w:eastAsia="Times New Roman" w:hAnsi="Times New Roman" w:cs="Times New Roman"/>
                <w:sz w:val="26"/>
                <w:szCs w:val="26"/>
              </w:rPr>
              <w:t>LÀO CAI</w:t>
            </w:r>
          </w:p>
          <w:p w14:paraId="71BB7D62" w14:textId="77777777" w:rsidR="006A59F6" w:rsidRPr="00BB6B5D" w:rsidRDefault="006A59F6" w:rsidP="00842E09">
            <w:pPr>
              <w:spacing w:after="0" w:line="240" w:lineRule="auto"/>
              <w:jc w:val="center"/>
              <w:rPr>
                <w:rFonts w:ascii="Times New Roman" w:eastAsia="Times New Roman" w:hAnsi="Times New Roman" w:cs="Times New Roman"/>
                <w:sz w:val="28"/>
                <w:szCs w:val="28"/>
              </w:rPr>
            </w:pPr>
            <w:r w:rsidRPr="00842E0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54E77C2" wp14:editId="1E550CA5">
                      <wp:simplePos x="0" y="0"/>
                      <wp:positionH relativeFrom="column">
                        <wp:posOffset>875665</wp:posOffset>
                      </wp:positionH>
                      <wp:positionV relativeFrom="paragraph">
                        <wp:posOffset>213995</wp:posOffset>
                      </wp:positionV>
                      <wp:extent cx="1080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886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16.85pt" to="15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"/>
                  </w:pict>
                </mc:Fallback>
              </mc:AlternateContent>
            </w:r>
            <w:r w:rsidRPr="00842E09">
              <w:rPr>
                <w:rFonts w:ascii="Times New Roman" w:eastAsia="Times New Roman" w:hAnsi="Times New Roman" w:cs="Times New Roman"/>
                <w:b/>
                <w:bCs/>
                <w:spacing w:val="-6"/>
                <w:sz w:val="26"/>
                <w:szCs w:val="26"/>
              </w:rPr>
              <w:t>SỞ KHOA HỌC VÀ CÔNG NGHỆ</w:t>
            </w:r>
          </w:p>
        </w:tc>
        <w:tc>
          <w:tcPr>
            <w:tcW w:w="5529" w:type="dxa"/>
          </w:tcPr>
          <w:p w14:paraId="40C61223" w14:textId="77777777" w:rsidR="006A59F6" w:rsidRPr="00BB6B5D" w:rsidRDefault="006A59F6" w:rsidP="00842E09">
            <w:pPr>
              <w:keepNext/>
              <w:spacing w:after="0" w:line="240" w:lineRule="auto"/>
              <w:jc w:val="center"/>
              <w:outlineLvl w:val="0"/>
              <w:rPr>
                <w:rFonts w:ascii="Times New Roman" w:eastAsia="Times New Roman" w:hAnsi="Times New Roman" w:cs="Times New Roman"/>
                <w:b/>
                <w:bCs/>
                <w:spacing w:val="-6"/>
                <w:sz w:val="26"/>
                <w:szCs w:val="26"/>
              </w:rPr>
            </w:pPr>
            <w:r w:rsidRPr="00BB6B5D">
              <w:rPr>
                <w:rFonts w:ascii="Times New Roman" w:eastAsia="Times New Roman" w:hAnsi="Times New Roman" w:cs="Times New Roman"/>
                <w:b/>
                <w:bCs/>
                <w:spacing w:val="-6"/>
                <w:sz w:val="26"/>
                <w:szCs w:val="26"/>
              </w:rPr>
              <w:t>CỘNG HOÀ XÃ HỘI CHỦ NGHĨA VIỆT NAM</w:t>
            </w:r>
          </w:p>
          <w:p w14:paraId="09B2942C" w14:textId="77777777" w:rsidR="006A59F6" w:rsidRPr="00BB6B5D" w:rsidRDefault="006A59F6" w:rsidP="00842E09">
            <w:pPr>
              <w:spacing w:after="0" w:line="240" w:lineRule="auto"/>
              <w:jc w:val="center"/>
              <w:rPr>
                <w:rFonts w:ascii="Times New Roman" w:eastAsia="Times New Roman" w:hAnsi="Times New Roman" w:cs="Times New Roman"/>
                <w:sz w:val="28"/>
                <w:szCs w:val="28"/>
              </w:rPr>
            </w:pPr>
            <w:r w:rsidRPr="00BB6B5D">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FD2CE23" wp14:editId="153AF766">
                      <wp:simplePos x="0" y="0"/>
                      <wp:positionH relativeFrom="column">
                        <wp:posOffset>610235</wp:posOffset>
                      </wp:positionH>
                      <wp:positionV relativeFrom="paragraph">
                        <wp:posOffset>234315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AD4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8.45pt" to="218.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"/>
                  </w:pict>
                </mc:Fallback>
              </mc:AlternateContent>
            </w:r>
            <w:r w:rsidRPr="00BB6B5D">
              <w:rPr>
                <w:rFonts w:ascii="Times New Roman" w:eastAsia="Times New Roman" w:hAnsi="Times New Roman" w:cs="Times New Roman"/>
                <w:b/>
                <w:sz w:val="28"/>
                <w:szCs w:val="28"/>
              </w:rPr>
              <w:t>Độc lập - Tự do - Hạnh phúc</w:t>
            </w:r>
          </w:p>
        </w:tc>
      </w:tr>
      <w:tr w:rsidR="006A59F6" w:rsidRPr="00BB6B5D" w14:paraId="5AB09FC7" w14:textId="77777777" w:rsidTr="00C05C52">
        <w:trPr>
          <w:trHeight w:val="413"/>
        </w:trPr>
        <w:tc>
          <w:tcPr>
            <w:tcW w:w="4111" w:type="dxa"/>
          </w:tcPr>
          <w:p w14:paraId="2E3B995C" w14:textId="38EB981C" w:rsidR="006A59F6" w:rsidRPr="00BB6B5D" w:rsidRDefault="006A59F6" w:rsidP="00842E09">
            <w:pPr>
              <w:spacing w:before="120" w:after="0" w:line="240" w:lineRule="auto"/>
              <w:jc w:val="center"/>
              <w:rPr>
                <w:rFonts w:ascii="Times New Roman" w:eastAsia="Times New Roman" w:hAnsi="Times New Roman" w:cs="Times New Roman"/>
                <w:color w:val="00B0F0"/>
                <w:sz w:val="28"/>
                <w:szCs w:val="28"/>
              </w:rPr>
            </w:pPr>
          </w:p>
        </w:tc>
        <w:tc>
          <w:tcPr>
            <w:tcW w:w="5529" w:type="dxa"/>
          </w:tcPr>
          <w:p w14:paraId="3F773171" w14:textId="72BDD38F" w:rsidR="006A59F6" w:rsidRPr="00BB6B5D" w:rsidRDefault="00D51982" w:rsidP="00842E09">
            <w:pPr>
              <w:spacing w:before="120" w:after="0" w:line="240" w:lineRule="auto"/>
              <w:jc w:val="center"/>
              <w:rPr>
                <w:rFonts w:ascii="Times New Roman" w:eastAsia="Times New Roman" w:hAnsi="Times New Roman" w:cs="Times New Roman"/>
                <w:bCs/>
                <w:i/>
                <w:sz w:val="28"/>
                <w:szCs w:val="28"/>
              </w:rPr>
            </w:pPr>
            <w:r w:rsidRPr="00BB6B5D">
              <w:rPr>
                <w:rFonts w:ascii="Times New Roman" w:eastAsia="Times New Roman" w:hAnsi="Times New Roman" w:cs="Times New Roman"/>
                <w:i/>
                <w:sz w:val="28"/>
                <w:szCs w:val="28"/>
              </w:rPr>
              <w:t>Lào Cai</w:t>
            </w:r>
            <w:r w:rsidR="006A59F6" w:rsidRPr="00BB6B5D">
              <w:rPr>
                <w:rFonts w:ascii="Times New Roman" w:eastAsia="Times New Roman" w:hAnsi="Times New Roman" w:cs="Times New Roman"/>
                <w:i/>
                <w:sz w:val="28"/>
                <w:szCs w:val="28"/>
              </w:rPr>
              <w:t xml:space="preserve">, ngày      tháng </w:t>
            </w:r>
            <w:r w:rsidRPr="00BB6B5D">
              <w:rPr>
                <w:rFonts w:ascii="Times New Roman" w:eastAsia="Times New Roman" w:hAnsi="Times New Roman" w:cs="Times New Roman"/>
                <w:i/>
                <w:sz w:val="28"/>
                <w:szCs w:val="28"/>
              </w:rPr>
              <w:t>01</w:t>
            </w:r>
            <w:r w:rsidR="006A59F6" w:rsidRPr="00BB6B5D">
              <w:rPr>
                <w:rFonts w:ascii="Times New Roman" w:eastAsia="Times New Roman" w:hAnsi="Times New Roman" w:cs="Times New Roman"/>
                <w:i/>
                <w:sz w:val="28"/>
                <w:szCs w:val="28"/>
              </w:rPr>
              <w:t xml:space="preserve"> năm 202</w:t>
            </w:r>
            <w:r w:rsidRPr="00BB6B5D">
              <w:rPr>
                <w:rFonts w:ascii="Times New Roman" w:eastAsia="Times New Roman" w:hAnsi="Times New Roman" w:cs="Times New Roman"/>
                <w:i/>
                <w:sz w:val="28"/>
                <w:szCs w:val="28"/>
              </w:rPr>
              <w:t>6</w:t>
            </w:r>
          </w:p>
        </w:tc>
      </w:tr>
    </w:tbl>
    <w:p w14:paraId="347EDC47" w14:textId="0EB986A0" w:rsidR="00C05C52" w:rsidRPr="00215214" w:rsidRDefault="00C05C52" w:rsidP="006A59F6">
      <w:pPr>
        <w:spacing w:after="0"/>
        <w:ind w:left="907" w:hanging="10"/>
        <w:jc w:val="center"/>
        <w:rPr>
          <w:rFonts w:ascii="Times New Roman" w:eastAsia="Times New Roman" w:hAnsi="Times New Roman" w:cs="Times New Roman"/>
          <w:b/>
          <w:sz w:val="28"/>
          <w:szCs w:val="28"/>
        </w:rPr>
      </w:pPr>
      <w:r w:rsidRPr="00BB6B5D">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A9E7182" wp14:editId="4336556D">
                <wp:simplePos x="0" y="0"/>
                <wp:positionH relativeFrom="column">
                  <wp:posOffset>-149704</wp:posOffset>
                </wp:positionH>
                <wp:positionV relativeFrom="paragraph">
                  <wp:posOffset>47313</wp:posOffset>
                </wp:positionV>
                <wp:extent cx="1273175" cy="302260"/>
                <wp:effectExtent l="0" t="0" r="2222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249326C2" w14:textId="77777777" w:rsidR="00FE4636" w:rsidRPr="00842E09" w:rsidRDefault="00FE4636" w:rsidP="00FE4636">
                            <w:pPr>
                              <w:jc w:val="center"/>
                              <w:rPr>
                                <w:rFonts w:ascii="Times New Roman" w:hAnsi="Times New Roman" w:cs="Times New Roman"/>
                                <w:sz w:val="28"/>
                                <w:szCs w:val="28"/>
                              </w:rPr>
                            </w:pPr>
                            <w:r w:rsidRPr="00842E09">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anchor>
            </w:drawing>
          </mc:Choice>
          <mc:Fallback>
            <w:pict>
              <v:shapetype w14:anchorId="4A9E7182" id="_x0000_t202" coordsize="21600,21600" o:spt="202" path="m,l,21600r21600,l21600,xe">
                <v:stroke joinstyle="miter"/>
                <v:path gradientshapeok="t" o:connecttype="rect"/>
              </v:shapetype>
              <v:shape id="Text Box 5" o:spid="_x0000_s1026" type="#_x0000_t202" style="position:absolute;left:0;text-align:left;margin-left:-11.8pt;margin-top:3.75pt;width:100.25pt;height:2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">
                <v:textbox>
                  <w:txbxContent>
                    <w:p w14:paraId="249326C2" w14:textId="77777777" w:rsidR="00FE4636" w:rsidRPr="00842E09" w:rsidRDefault="00FE4636" w:rsidP="00FE4636">
                      <w:pPr>
                        <w:jc w:val="center"/>
                        <w:rPr>
                          <w:rFonts w:ascii="Times New Roman" w:hAnsi="Times New Roman" w:cs="Times New Roman"/>
                          <w:sz w:val="28"/>
                          <w:szCs w:val="28"/>
                        </w:rPr>
                      </w:pPr>
                      <w:r w:rsidRPr="00842E09">
                        <w:rPr>
                          <w:rFonts w:ascii="Times New Roman" w:hAnsi="Times New Roman" w:cs="Times New Roman"/>
                          <w:sz w:val="28"/>
                          <w:szCs w:val="28"/>
                        </w:rPr>
                        <w:t>DỰ THẢO</w:t>
                      </w:r>
                    </w:p>
                  </w:txbxContent>
                </v:textbox>
              </v:shape>
            </w:pict>
          </mc:Fallback>
        </mc:AlternateContent>
      </w:r>
    </w:p>
    <w:p w14:paraId="44EE8C6E" w14:textId="77799797" w:rsidR="006A59F6" w:rsidRPr="00BB6B5D" w:rsidRDefault="006A59F6" w:rsidP="006A59F6">
      <w:pPr>
        <w:spacing w:after="0"/>
        <w:ind w:left="907" w:hanging="10"/>
        <w:jc w:val="center"/>
        <w:rPr>
          <w:rFonts w:ascii="Times New Roman" w:eastAsia="Times New Roman" w:hAnsi="Times New Roman" w:cs="Times New Roman"/>
          <w:b/>
          <w:sz w:val="28"/>
          <w:szCs w:val="28"/>
        </w:rPr>
      </w:pPr>
    </w:p>
    <w:p w14:paraId="7EFFA3D1" w14:textId="37EB1594" w:rsidR="006A59F6" w:rsidRPr="00BB6B5D" w:rsidRDefault="006A59F6" w:rsidP="00842E09">
      <w:pPr>
        <w:spacing w:after="0"/>
        <w:jc w:val="center"/>
        <w:rPr>
          <w:rFonts w:ascii="Times New Roman" w:eastAsia="Times New Roman" w:hAnsi="Times New Roman" w:cs="Times New Roman"/>
          <w:b/>
          <w:sz w:val="28"/>
          <w:szCs w:val="28"/>
        </w:rPr>
      </w:pPr>
      <w:r w:rsidRPr="00BB6B5D">
        <w:rPr>
          <w:rFonts w:ascii="Times New Roman" w:eastAsia="Times New Roman" w:hAnsi="Times New Roman" w:cs="Times New Roman"/>
          <w:b/>
          <w:sz w:val="28"/>
          <w:szCs w:val="28"/>
        </w:rPr>
        <w:t>BẢN THUYẾT MINH NỘI DUNG DỰ THẢO</w:t>
      </w:r>
    </w:p>
    <w:p w14:paraId="1A9CA8CF" w14:textId="40E6FBCF" w:rsidR="00672A87" w:rsidRPr="00215214" w:rsidRDefault="006A59F6" w:rsidP="00842E09">
      <w:pPr>
        <w:spacing w:after="0" w:line="240" w:lineRule="auto"/>
        <w:jc w:val="center"/>
        <w:rPr>
          <w:rFonts w:ascii="Times New Roman" w:hAnsi="Times New Roman" w:cs="Times New Roman"/>
          <w:b/>
          <w:bCs/>
          <w:sz w:val="28"/>
          <w:szCs w:val="28"/>
        </w:rPr>
      </w:pPr>
      <w:r w:rsidRPr="00BB6B5D">
        <w:rPr>
          <w:rFonts w:ascii="Times New Roman" w:hAnsi="Times New Roman" w:cs="Times New Roman"/>
          <w:b/>
          <w:sz w:val="28"/>
          <w:szCs w:val="28"/>
        </w:rPr>
        <w:t xml:space="preserve">Nghị quyết quy định tiêu chí, điều kiện, trình tự, thủ tục, nội dung và mức </w:t>
      </w:r>
      <w:r w:rsidR="00253C2D" w:rsidRPr="00BB6B5D">
        <w:rPr>
          <w:rFonts w:ascii="Times New Roman" w:hAnsi="Times New Roman" w:cs="Times New Roman"/>
          <w:b/>
          <w:bCs/>
          <w:sz w:val="28"/>
          <w:szCs w:val="28"/>
        </w:rPr>
        <w:t>hỗ trợ  từ ngân sách địa phương đối với các dự án khởi nghiệp sáng tạo trong công nghiệp công nghệ số</w:t>
      </w:r>
    </w:p>
    <w:p w14:paraId="195B7FAB" w14:textId="77777777" w:rsidR="00235416" w:rsidRPr="00215214" w:rsidRDefault="00235416" w:rsidP="00235416">
      <w:pPr>
        <w:spacing w:after="0" w:line="240" w:lineRule="auto"/>
        <w:jc w:val="center"/>
        <w:rPr>
          <w:rFonts w:ascii="Times New Roman" w:hAnsi="Times New Roman" w:cs="Times New Roman"/>
          <w:b/>
          <w:bCs/>
          <w:sz w:val="28"/>
          <w:szCs w:val="28"/>
        </w:rPr>
      </w:pPr>
    </w:p>
    <w:p w14:paraId="1FAD51A2" w14:textId="77777777" w:rsidR="00235416" w:rsidRPr="00215214" w:rsidRDefault="00235416" w:rsidP="00CA07A3">
      <w:pPr>
        <w:spacing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I. SỰ CẦN THIẾT BAN HÀNH NGHỊ QUYẾT</w:t>
      </w:r>
    </w:p>
    <w:p w14:paraId="3AA20F5D" w14:textId="77777777" w:rsidR="00235416" w:rsidRPr="00215214" w:rsidRDefault="00235416"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Luật Công nghiệp công nghệ số được Quốc hội khóa XV thông qua ngày 14 tháng 6 năm 2025 đã xác lập khung pháp lý quan trọng cho phát triển công nghiệp công nghệ số và hệ sinh thái khởi nghiệp sáng tạo trong lĩnh vực này. Tại khoản 2 Điều 29, Luật giao Hội đồng nhân dân cấp tỉnh ban hành chính sách hỗ trợ từ ngân sách địa phương đối với các dự án khởi nghiệp sáng tạo trong công nghiệp công nghệ số phù hợp với điều kiện thực tế của địa phương.</w:t>
      </w:r>
    </w:p>
    <w:p w14:paraId="4E5CA868" w14:textId="77777777" w:rsidR="00235416" w:rsidRPr="00215214" w:rsidRDefault="00235416"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Trong thời gian qua, tỉnh Lào Cai đã quan tâm thúc đẩy đổi mới sáng tạo, khởi nghiệp và chuyển đổi số; tuy nhiên, trên địa bàn tỉnh chưa có chính sách hỗ trợ chuyên biệt, thống nhất và có cơ sở pháp lý rõ ràng dành riêng cho các dự án khởi nghiệp sáng tạo trong công nghiệp công nghệ số. Việc thiếu cơ chế hỗ trợ cụ thể từ ngân sách địa phương đã hạn chế khả năng hình thành, phát triển và thương mại hóa các sản phẩm, giải pháp công nghệ số; đồng thời gây khó khăn trong việc thu hút nhân lực công nghệ số chất lượng cao và huy động nguồn lực xã hội cho đổi mới sáng tạo.</w:t>
      </w:r>
    </w:p>
    <w:p w14:paraId="4C74A30A" w14:textId="74EB92B9" w:rsidR="00235416" w:rsidRPr="00215214" w:rsidRDefault="00235416" w:rsidP="00CA07A3">
      <w:pPr>
        <w:spacing w:before="120" w:after="0" w:line="240" w:lineRule="auto"/>
        <w:ind w:firstLine="567"/>
        <w:jc w:val="both"/>
        <w:rPr>
          <w:rFonts w:ascii="Times New Roman" w:hAnsi="Times New Roman" w:cs="Times New Roman"/>
          <w:spacing w:val="-2"/>
          <w:sz w:val="28"/>
          <w:szCs w:val="28"/>
        </w:rPr>
      </w:pPr>
      <w:r w:rsidRPr="00215214">
        <w:rPr>
          <w:rFonts w:ascii="Times New Roman" w:hAnsi="Times New Roman" w:cs="Times New Roman"/>
          <w:spacing w:val="-2"/>
          <w:sz w:val="28"/>
          <w:szCs w:val="28"/>
        </w:rPr>
        <w:t>Do đó, việc ban hành Nghị quyết của Hội đồng nhân dân tỉnh quy định tiêu chí, điều kiện, trình tự, thủ tục, nội dung và mức hỗ trợ từ ngân sách địa phương đối với các dự án khởi nghiệp sáng tạo trong công nghiệp công nghệ số trên địa bàn tỉnh Lào Cai là cần thiết, nhằm cụ thể hóa quy định của Luật Công nghiệp công nghệ số, tạo cơ sở pháp lý để triển khai hỗ trợ một cách công khai, minh bạch, có trọng tâm, trọng điểm và phù hợp với khả năng cân đối ngân sách của tỉnh.</w:t>
      </w:r>
    </w:p>
    <w:p w14:paraId="25AF6718" w14:textId="77777777" w:rsidR="00235416" w:rsidRPr="00215214" w:rsidRDefault="00235416"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II. CƠ SỞ PHÁP LÝ XÂY DỰNG NGHỊ QUYẾT</w:t>
      </w:r>
    </w:p>
    <w:p w14:paraId="4B583BD5" w14:textId="77777777" w:rsidR="00235416" w:rsidRPr="00215214" w:rsidRDefault="00235416"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Việc xây dựng dự thảo Nghị quyết được thực hiện trên cơ sở các quy định pháp luật sau:</w:t>
      </w:r>
    </w:p>
    <w:p w14:paraId="73743718" w14:textId="358BB360"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Luật Tổ chức chính quyền địa phương số 72/2025/QH15;</w:t>
      </w:r>
    </w:p>
    <w:p w14:paraId="628A9784" w14:textId="36AC791B"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Luật Ban hành văn bản quy phạm pháp luật số 64/2025/QH15 (đã được sửa đổi, bổ sung);</w:t>
      </w:r>
    </w:p>
    <w:p w14:paraId="2762677B" w14:textId="7B2C6DCD"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Luật Ngân sách nhà nước số 89/2025/QH15;</w:t>
      </w:r>
    </w:p>
    <w:p w14:paraId="01E9D67B" w14:textId="4D936182"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Luật Công nghiệp công nghệ số số 71/2025/QH15;</w:t>
      </w:r>
    </w:p>
    <w:p w14:paraId="62DFCCBD" w14:textId="578FB58E"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lastRenderedPageBreak/>
        <w:t xml:space="preserve">- </w:t>
      </w:r>
      <w:r w:rsidR="00235416" w:rsidRPr="00215214">
        <w:rPr>
          <w:rFonts w:ascii="Times New Roman" w:hAnsi="Times New Roman" w:cs="Times New Roman"/>
          <w:sz w:val="28"/>
          <w:szCs w:val="28"/>
        </w:rPr>
        <w:t>Nghị định số 353/2025/NĐ-CP của Chính phủ quy định chi tiết một số điều và biện pháp để tổ chức hướng dẫn thi hành Luật Công nghiệp công nghệ số;</w:t>
      </w:r>
    </w:p>
    <w:p w14:paraId="608ED8CF" w14:textId="6D072870"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Các nghị quyết, chương trình, kế hoạch của Trung ương và của tỉnh Lào Cai về phát triển khoa học, công nghệ, đổi mới sáng tạo và chuyển đổi số.</w:t>
      </w:r>
    </w:p>
    <w:p w14:paraId="1720D34E" w14:textId="77777777" w:rsidR="00235416" w:rsidRPr="00215214" w:rsidRDefault="00235416"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III. PHẠM VI ĐIỀU CHỈNH, ĐỐI TƯỢNG ÁP DỤNG</w:t>
      </w:r>
    </w:p>
    <w:p w14:paraId="6776CEFE" w14:textId="77777777" w:rsidR="00235416" w:rsidRPr="00215214" w:rsidRDefault="00235416"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Dự thảo Nghị quyết quy định tiêu chí, điều kiện, trình tự, thủ tục, nội dung và mức hỗ trợ từ ngân sách địa phương đối với các dự án khởi nghiệp sáng tạo trong công nghiệp công nghệ số trên địa bàn tỉnh Lào Cai theo quy định tại khoản 2 Điều 29 Luật Công nghiệp công nghệ số.</w:t>
      </w:r>
    </w:p>
    <w:p w14:paraId="34F3CD4C" w14:textId="77777777" w:rsidR="00235416" w:rsidRPr="00215214" w:rsidRDefault="00235416"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Đối tượng áp dụng của Nghị quyết bao gồm:</w:t>
      </w:r>
    </w:p>
    <w:p w14:paraId="0D4133AC" w14:textId="182DF6BD"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Các tổ chức, doanh nghiệp trong nước hoặc có vốn đầu tư nước ngoài thực hiện dự án khởi nghiệp sáng tạo trong công nghiệp công nghệ số trên địa bàn tỉnh Lào Cai;</w:t>
      </w:r>
    </w:p>
    <w:p w14:paraId="48D6A93C" w14:textId="05A837D9" w:rsidR="00235416" w:rsidRPr="00215214" w:rsidRDefault="007906CC"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 xml:space="preserve">- </w:t>
      </w:r>
      <w:r w:rsidR="00235416" w:rsidRPr="00215214">
        <w:rPr>
          <w:rFonts w:ascii="Times New Roman" w:hAnsi="Times New Roman" w:cs="Times New Roman"/>
          <w:sz w:val="28"/>
          <w:szCs w:val="28"/>
        </w:rPr>
        <w:t>Các cơ quan, tổ chức, cá nhân có liên quan đến hoạt động quản lý, thẩm định, xét duyệt, tổ chức thực hiện và giám sát việc hỗ trợ.</w:t>
      </w:r>
    </w:p>
    <w:p w14:paraId="7BC0E636"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IV. NHỮNG NỘI DUNG CƠ BẢN CỦA DỰ THẢO NGHỊ QUYẾT</w:t>
      </w:r>
    </w:p>
    <w:p w14:paraId="324C9017"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1. Quy định về tiêu chí và điều kiện hỗ trợ</w:t>
      </w:r>
    </w:p>
    <w:p w14:paraId="505BB456" w14:textId="77777777"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Dự thảo Nghị quyết quy định các tiêu chí chung và tiêu chí cụ thể đối với từng nhóm nội dung hỗ trợ nhằm bảo đảm việc lựa chọn dự án được hỗ trợ đúng đối tượng, có tính khả thi, hiệu quả kinh tế – xã hội và phù hợp với định hướng phát triển công nghiệp công nghệ số của tỉnh.</w:t>
      </w:r>
    </w:p>
    <w:p w14:paraId="5BF78456" w14:textId="77777777" w:rsidR="00046E31" w:rsidRPr="00CE7D29" w:rsidRDefault="00046E31" w:rsidP="00CA07A3">
      <w:pPr>
        <w:spacing w:before="120" w:after="0" w:line="240" w:lineRule="auto"/>
        <w:ind w:firstLine="567"/>
        <w:jc w:val="both"/>
        <w:rPr>
          <w:rFonts w:ascii="Times New Roman" w:hAnsi="Times New Roman" w:cs="Times New Roman"/>
          <w:spacing w:val="-6"/>
          <w:sz w:val="28"/>
          <w:szCs w:val="28"/>
        </w:rPr>
      </w:pPr>
      <w:r w:rsidRPr="00CE7D29">
        <w:rPr>
          <w:rFonts w:ascii="Times New Roman" w:hAnsi="Times New Roman" w:cs="Times New Roman"/>
          <w:spacing w:val="-6"/>
          <w:sz w:val="28"/>
          <w:szCs w:val="28"/>
        </w:rPr>
        <w:t xml:space="preserve">Các điều kiện hỗ trợ được thiết kế theo từng nhóm nội dung </w:t>
      </w:r>
      <w:r w:rsidRPr="00CE7D29">
        <w:rPr>
          <w:rFonts w:ascii="Times New Roman" w:hAnsi="Times New Roman" w:cs="Times New Roman"/>
          <w:i/>
          <w:iCs/>
          <w:spacing w:val="-6"/>
          <w:sz w:val="28"/>
          <w:szCs w:val="28"/>
        </w:rPr>
        <w:t>(đào tạo phát triển nguồn nhân lực; thu hút nhân lực công nghệ số chất lượng cao; nghiên cứu, phát triển và sản xuất thử nghiệm; tư vấn khởi nghiệp; mua công nghệ và đổi mới công nghệ)</w:t>
      </w:r>
      <w:r w:rsidRPr="00CE7D29">
        <w:rPr>
          <w:rFonts w:ascii="Times New Roman" w:hAnsi="Times New Roman" w:cs="Times New Roman"/>
          <w:spacing w:val="-6"/>
          <w:sz w:val="28"/>
          <w:szCs w:val="28"/>
        </w:rPr>
        <w:t>, bảo đảm gắn với mục tiêu, nội dung dự án và khả năng triển khai thực tế.</w:t>
      </w:r>
    </w:p>
    <w:p w14:paraId="35086FDE"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2. Quy định về trình tự, thủ tục xét duyệt hỗ trợ</w:t>
      </w:r>
    </w:p>
    <w:p w14:paraId="01FD990D" w14:textId="77777777"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Dự thảo Nghị quyết quy định rõ trình tự, thủ tục xét duyệt hỗ trợ theo các bước cụ thể, từ tiếp nhận hồ sơ, thành lập Hội đồng thẩm định, tổ chức thẩm định, đến trình Ủy ban nhân dân tỉnh xem xét, quyết định và thông báo kết quả. Trình tự này bảo đảm công khai, minh bạch, có phân định rõ trách nhiệm giữa các cơ quan liên quan; trong đó Hội đồng thẩm định thực hiện chức năng tư vấn, đánh giá, không làm thay thẩm quyền quyết định của Ủy ban nhân dân tỉnh.</w:t>
      </w:r>
    </w:p>
    <w:p w14:paraId="0DDA9CAB"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3. Quy định về nội dung và mức hỗ trợ</w:t>
      </w:r>
    </w:p>
    <w:p w14:paraId="55124125" w14:textId="77777777"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Dự thảo Nghị quyết quy định các nhóm nội dung hỗ trợ phù hợp với quy định của Luật Công nghiệp công nghệ số, tập trung vào các hoạt động then chốt của dự án khởi nghiệp sáng tạo trong công nghiệp công nghệ số. Mức hỗ trợ, tỷ lệ hỗ trợ và mức hỗ trợ tối đa đối với từng nội dung được quy định cụ thể tại Phụ lục ban hành kèm theo Nghị quyết, bảo đảm có trần hỗ trợ, không trùng lặp với các chính sách khác và phù hợp với khả năng cân đối ngân sách địa phương.</w:t>
      </w:r>
    </w:p>
    <w:p w14:paraId="72E4F57E"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lastRenderedPageBreak/>
        <w:t>4. Quy định về nguyên tắc, nguồn kinh phí và giám sát thực hiện</w:t>
      </w:r>
    </w:p>
    <w:p w14:paraId="3B95D9C6" w14:textId="77777777"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Dự thảo Nghị quyết xác định rõ các nguyên tắc hỗ trợ, trong đó nhấn mạnh yêu cầu không trùng lặp chính sách, sử dụng kinh phí đúng mục đích, đúng quy định. Nguồn kinh phí thực hiện được bố trí từ ngân sách tỉnh, bao gồm chi đầu tư phát triển và chi sự nghiệp khoa học, công nghệ và đổi mới sáng tạo theo quy định của Luật Ngân sách nhà nước.</w:t>
      </w:r>
    </w:p>
    <w:p w14:paraId="50FAA930" w14:textId="1970B22A" w:rsidR="00235416" w:rsidRPr="00215214" w:rsidRDefault="00046E31" w:rsidP="00CA07A3">
      <w:pPr>
        <w:spacing w:before="120" w:after="12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Cơ chế giám sát, đánh giá và xử lý vi phạm được quy định nhằm bảo đảm hiệu quả sử dụng ngân sách, tăng cường trách nhiệm của tổ chức, cá nhân được hỗ trợ và của cơ quan quản lý nhà nước.</w:t>
      </w:r>
    </w:p>
    <w:tbl>
      <w:tblPr>
        <w:tblStyle w:val="TableGrid"/>
        <w:tblW w:w="9209" w:type="dxa"/>
        <w:tblLook w:val="04A0" w:firstRow="1" w:lastRow="0" w:firstColumn="1" w:lastColumn="0" w:noHBand="0" w:noVBand="1"/>
      </w:tblPr>
      <w:tblGrid>
        <w:gridCol w:w="4106"/>
        <w:gridCol w:w="5103"/>
      </w:tblGrid>
      <w:tr w:rsidR="00046E31" w:rsidRPr="00BB6B5D" w14:paraId="3841D302" w14:textId="77777777" w:rsidTr="00CE7D29">
        <w:trPr>
          <w:tblHeader/>
        </w:trPr>
        <w:tc>
          <w:tcPr>
            <w:tcW w:w="4106" w:type="dxa"/>
            <w:vAlign w:val="center"/>
          </w:tcPr>
          <w:p w14:paraId="66D035F0" w14:textId="64E458D3" w:rsidR="00046E31" w:rsidRPr="00BB6B5D" w:rsidRDefault="00046E31" w:rsidP="00CE7D29">
            <w:pPr>
              <w:spacing w:before="120"/>
              <w:jc w:val="center"/>
              <w:rPr>
                <w:rFonts w:ascii="Times New Roman" w:hAnsi="Times New Roman" w:cs="Times New Roman"/>
                <w:b/>
                <w:sz w:val="28"/>
                <w:szCs w:val="28"/>
              </w:rPr>
            </w:pPr>
            <w:r w:rsidRPr="00BB6B5D">
              <w:rPr>
                <w:rFonts w:ascii="Times New Roman" w:hAnsi="Times New Roman" w:cs="Times New Roman"/>
                <w:b/>
                <w:sz w:val="28"/>
                <w:szCs w:val="28"/>
              </w:rPr>
              <w:t>QUY ĐỊNH CỦA DỰ THẢO</w:t>
            </w:r>
            <w:r w:rsidR="007906CC" w:rsidRPr="00215214">
              <w:rPr>
                <w:rFonts w:ascii="Times New Roman" w:hAnsi="Times New Roman" w:cs="Times New Roman"/>
                <w:b/>
                <w:sz w:val="28"/>
                <w:szCs w:val="28"/>
              </w:rPr>
              <w:t xml:space="preserve">  </w:t>
            </w:r>
            <w:r w:rsidRPr="00BB6B5D">
              <w:rPr>
                <w:rFonts w:ascii="Times New Roman" w:hAnsi="Times New Roman" w:cs="Times New Roman"/>
                <w:b/>
                <w:sz w:val="28"/>
                <w:szCs w:val="28"/>
              </w:rPr>
              <w:t>NGHỊ QUYẾT</w:t>
            </w:r>
          </w:p>
        </w:tc>
        <w:tc>
          <w:tcPr>
            <w:tcW w:w="5103" w:type="dxa"/>
            <w:vAlign w:val="center"/>
          </w:tcPr>
          <w:p w14:paraId="5CB21E50" w14:textId="77777777" w:rsidR="00046E31" w:rsidRPr="00BB6B5D" w:rsidRDefault="00046E31" w:rsidP="00CE7D29">
            <w:pPr>
              <w:spacing w:before="120"/>
              <w:jc w:val="center"/>
              <w:rPr>
                <w:rFonts w:ascii="Times New Roman" w:hAnsi="Times New Roman" w:cs="Times New Roman"/>
                <w:b/>
                <w:sz w:val="28"/>
                <w:szCs w:val="28"/>
              </w:rPr>
            </w:pPr>
            <w:r w:rsidRPr="00BB6B5D">
              <w:rPr>
                <w:rFonts w:ascii="Times New Roman" w:hAnsi="Times New Roman" w:cs="Times New Roman"/>
                <w:b/>
                <w:sz w:val="28"/>
                <w:szCs w:val="28"/>
              </w:rPr>
              <w:t>QUY ĐỊNH CỦA PHÁP LUẬT HIỆN HÀNH CÓ LIÊN QUAN</w:t>
            </w:r>
          </w:p>
        </w:tc>
      </w:tr>
      <w:tr w:rsidR="00046E31" w:rsidRPr="00BB6B5D" w14:paraId="5CB8A624" w14:textId="77777777" w:rsidTr="00CE7D29">
        <w:tc>
          <w:tcPr>
            <w:tcW w:w="4106" w:type="dxa"/>
            <w:vAlign w:val="center"/>
          </w:tcPr>
          <w:p w14:paraId="5048B570" w14:textId="77777777" w:rsidR="00046E31" w:rsidRPr="00BB6B5D" w:rsidRDefault="00046E31" w:rsidP="007906CC">
            <w:pPr>
              <w:spacing w:before="120"/>
              <w:rPr>
                <w:rFonts w:ascii="Times New Roman" w:hAnsi="Times New Roman" w:cs="Times New Roman"/>
                <w:sz w:val="28"/>
                <w:szCs w:val="28"/>
              </w:rPr>
            </w:pPr>
            <w:r w:rsidRPr="00BB6B5D">
              <w:rPr>
                <w:rFonts w:ascii="Times New Roman" w:hAnsi="Times New Roman" w:cs="Times New Roman"/>
                <w:sz w:val="28"/>
                <w:szCs w:val="28"/>
              </w:rPr>
              <w:t>Điều 1. Phạm vi điều chỉnh</w:t>
            </w:r>
          </w:p>
        </w:tc>
        <w:tc>
          <w:tcPr>
            <w:tcW w:w="5103" w:type="dxa"/>
          </w:tcPr>
          <w:p w14:paraId="10656EFE"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Quy định cụ thể phạm vi hỗ trợ theo cấp tỉnh, thống nhất với Luật Công nghiệp công nghệ số</w:t>
            </w:r>
          </w:p>
          <w:p w14:paraId="1E5FCFEE" w14:textId="4D695015"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Luật Công nghiệp công nghệ số số 71/2025/QH15 </w:t>
            </w:r>
          </w:p>
        </w:tc>
      </w:tr>
      <w:tr w:rsidR="00046E31" w:rsidRPr="00BB6B5D" w14:paraId="7F21480F" w14:textId="77777777" w:rsidTr="00CE7D29">
        <w:tc>
          <w:tcPr>
            <w:tcW w:w="4106" w:type="dxa"/>
            <w:vAlign w:val="center"/>
          </w:tcPr>
          <w:p w14:paraId="32CA9443" w14:textId="77777777" w:rsidR="00046E31" w:rsidRPr="00BB6B5D" w:rsidRDefault="00046E31" w:rsidP="007906CC">
            <w:pPr>
              <w:spacing w:before="120"/>
              <w:rPr>
                <w:rFonts w:ascii="Times New Roman" w:hAnsi="Times New Roman" w:cs="Times New Roman"/>
                <w:sz w:val="28"/>
                <w:szCs w:val="28"/>
              </w:rPr>
            </w:pPr>
            <w:r w:rsidRPr="00BB6B5D">
              <w:rPr>
                <w:rFonts w:ascii="Times New Roman" w:hAnsi="Times New Roman" w:cs="Times New Roman"/>
                <w:sz w:val="28"/>
                <w:szCs w:val="28"/>
              </w:rPr>
              <w:t>Điều 2. Đối tượng áp dụng</w:t>
            </w:r>
          </w:p>
        </w:tc>
        <w:tc>
          <w:tcPr>
            <w:tcW w:w="5103" w:type="dxa"/>
          </w:tcPr>
          <w:p w14:paraId="20A6985F"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Quy định cụ thể phạm vi hỗ trợ theo cấp tỉnh, thống nhất với Luật Công nghiệp công nghệ số</w:t>
            </w:r>
          </w:p>
          <w:p w14:paraId="323039AC" w14:textId="0D95F875"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Luật Công nghiệp công nghệ số số 71/2025/QH15 </w:t>
            </w:r>
          </w:p>
        </w:tc>
      </w:tr>
      <w:tr w:rsidR="00046E31" w:rsidRPr="00BB6B5D" w14:paraId="2FF692FB" w14:textId="77777777" w:rsidTr="00CE7D29">
        <w:tc>
          <w:tcPr>
            <w:tcW w:w="4106" w:type="dxa"/>
            <w:vAlign w:val="center"/>
          </w:tcPr>
          <w:p w14:paraId="0FE2F49C" w14:textId="4116C375" w:rsidR="00046E31" w:rsidRPr="00BB6B5D" w:rsidRDefault="00046E31" w:rsidP="007906CC">
            <w:pPr>
              <w:shd w:val="clear" w:color="auto" w:fill="FFFFFF"/>
              <w:spacing w:before="120"/>
              <w:rPr>
                <w:rFonts w:ascii="Times New Roman" w:hAnsi="Times New Roman" w:cs="Times New Roman"/>
                <w:b/>
                <w:bCs/>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3</w:t>
            </w:r>
            <w:r w:rsidRPr="00BB6B5D">
              <w:rPr>
                <w:rFonts w:ascii="Times New Roman" w:hAnsi="Times New Roman" w:cs="Times New Roman"/>
                <w:sz w:val="28"/>
                <w:szCs w:val="28"/>
              </w:rPr>
              <w:t>. Nguyên tắc hỗ trợ</w:t>
            </w:r>
          </w:p>
        </w:tc>
        <w:tc>
          <w:tcPr>
            <w:tcW w:w="5103" w:type="dxa"/>
          </w:tcPr>
          <w:p w14:paraId="10CEC962"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Nguyên tắc sử dụng ngân sách Nhà nước</w:t>
            </w:r>
          </w:p>
          <w:p w14:paraId="5BB45390" w14:textId="43603AAD" w:rsidR="00046E31" w:rsidRPr="0062282C" w:rsidRDefault="0062282C" w:rsidP="007906CC">
            <w:pPr>
              <w:spacing w:before="120"/>
              <w:jc w:val="both"/>
              <w:rPr>
                <w:rFonts w:ascii="Times New Roman" w:hAnsi="Times New Roman" w:cs="Times New Roman"/>
                <w:sz w:val="28"/>
                <w:szCs w:val="28"/>
              </w:rPr>
            </w:pPr>
            <w:r w:rsidRPr="0062282C">
              <w:rPr>
                <w:rFonts w:ascii="Times New Roman" w:hAnsi="Times New Roman" w:cs="Times New Roman"/>
                <w:sz w:val="28"/>
                <w:szCs w:val="28"/>
              </w:rPr>
              <w:t>Luật Ngân sách nhà nước số 89/2025/QH15</w:t>
            </w:r>
            <w:r w:rsidR="00046E31" w:rsidRPr="00BB6B5D">
              <w:rPr>
                <w:rFonts w:ascii="Times New Roman" w:hAnsi="Times New Roman" w:cs="Times New Roman"/>
                <w:sz w:val="28"/>
                <w:szCs w:val="28"/>
              </w:rPr>
              <w:t xml:space="preserve">; </w:t>
            </w:r>
          </w:p>
        </w:tc>
      </w:tr>
      <w:tr w:rsidR="00046E31" w:rsidRPr="00BB6B5D" w14:paraId="54008493" w14:textId="77777777" w:rsidTr="00CE7D29">
        <w:tc>
          <w:tcPr>
            <w:tcW w:w="4106" w:type="dxa"/>
            <w:vAlign w:val="center"/>
          </w:tcPr>
          <w:p w14:paraId="21716E98" w14:textId="5B01D39C" w:rsidR="00046E31" w:rsidRPr="00BB6B5D" w:rsidRDefault="00046E31" w:rsidP="0062282C">
            <w:pPr>
              <w:spacing w:before="120"/>
              <w:jc w:val="both"/>
              <w:rPr>
                <w:rFonts w:ascii="Times New Roman" w:hAnsi="Times New Roman" w:cs="Times New Roman"/>
                <w:b/>
                <w:bCs/>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4</w:t>
            </w:r>
            <w:r w:rsidRPr="00BB6B5D">
              <w:rPr>
                <w:rFonts w:ascii="Times New Roman" w:hAnsi="Times New Roman" w:cs="Times New Roman"/>
                <w:sz w:val="28"/>
                <w:szCs w:val="28"/>
              </w:rPr>
              <w:t>. Tiêu chí hỗ trợ đối với dự án khởi nghiệp sáng tạo trong công nghiệp công nghệ số</w:t>
            </w:r>
          </w:p>
          <w:p w14:paraId="17AC74AB" w14:textId="77777777" w:rsidR="00046E31" w:rsidRPr="00BB6B5D" w:rsidRDefault="00046E31" w:rsidP="007906CC">
            <w:pPr>
              <w:shd w:val="clear" w:color="auto" w:fill="FFFFFF"/>
              <w:spacing w:before="120"/>
              <w:rPr>
                <w:rFonts w:ascii="Times New Roman" w:hAnsi="Times New Roman" w:cs="Times New Roman"/>
                <w:b/>
                <w:bCs/>
                <w:sz w:val="28"/>
                <w:szCs w:val="28"/>
              </w:rPr>
            </w:pPr>
          </w:p>
        </w:tc>
        <w:tc>
          <w:tcPr>
            <w:tcW w:w="5103" w:type="dxa"/>
          </w:tcPr>
          <w:p w14:paraId="4E04877B"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Đảm bảo phù hợp tiêu chí đầu tư công nghệ số cấp địa phương, gắn với trách nhiệm bảo vệ môi trường và an toàn thông tin.</w:t>
            </w:r>
          </w:p>
          <w:p w14:paraId="6E1919D2" w14:textId="0B212E30" w:rsidR="00046E31" w:rsidRPr="00BB6B5D" w:rsidRDefault="0062282C" w:rsidP="007906CC">
            <w:pPr>
              <w:spacing w:before="120"/>
              <w:jc w:val="both"/>
              <w:rPr>
                <w:rFonts w:ascii="Times New Roman" w:hAnsi="Times New Roman" w:cs="Times New Roman"/>
                <w:sz w:val="28"/>
                <w:szCs w:val="28"/>
              </w:rPr>
            </w:pPr>
            <w:r w:rsidRPr="0062282C">
              <w:rPr>
                <w:rFonts w:ascii="Times New Roman" w:hAnsi="Times New Roman" w:cs="Times New Roman"/>
                <w:sz w:val="28"/>
                <w:szCs w:val="28"/>
              </w:rPr>
              <w:t xml:space="preserve">Luật Công nghiệp công nghệ số số 71/2025/QH15 </w:t>
            </w:r>
          </w:p>
        </w:tc>
      </w:tr>
      <w:tr w:rsidR="00046E31" w:rsidRPr="00BB6B5D" w14:paraId="671B26EE" w14:textId="77777777" w:rsidTr="00CE7D29">
        <w:tc>
          <w:tcPr>
            <w:tcW w:w="4106" w:type="dxa"/>
            <w:vAlign w:val="center"/>
          </w:tcPr>
          <w:p w14:paraId="32EADBD6" w14:textId="1265ECE7" w:rsidR="00046E31" w:rsidRPr="00BB6B5D" w:rsidRDefault="00046E31" w:rsidP="0062282C">
            <w:pPr>
              <w:spacing w:before="120"/>
              <w:jc w:val="both"/>
              <w:rPr>
                <w:rFonts w:ascii="Times New Roman" w:hAnsi="Times New Roman" w:cs="Times New Roman"/>
                <w:b/>
                <w:bCs/>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5</w:t>
            </w:r>
            <w:r w:rsidRPr="00BB6B5D">
              <w:rPr>
                <w:rFonts w:ascii="Times New Roman" w:hAnsi="Times New Roman" w:cs="Times New Roman"/>
                <w:sz w:val="28"/>
                <w:szCs w:val="28"/>
              </w:rPr>
              <w:t>. Điều kiện hỗ trợ đối với dự án khởi nghiệp sáng tạo trong công nghiệp công nghệ số</w:t>
            </w:r>
          </w:p>
        </w:tc>
        <w:tc>
          <w:tcPr>
            <w:tcW w:w="5103" w:type="dxa"/>
          </w:tcPr>
          <w:p w14:paraId="770071D0" w14:textId="77777777" w:rsidR="00046E31" w:rsidRPr="00BB6B5D" w:rsidRDefault="00046E31" w:rsidP="007906CC">
            <w:pPr>
              <w:shd w:val="clear" w:color="auto" w:fill="FFFFFF"/>
              <w:spacing w:before="120"/>
              <w:jc w:val="both"/>
              <w:rPr>
                <w:rFonts w:ascii="Times New Roman" w:hAnsi="Times New Roman" w:cs="Times New Roman"/>
                <w:bCs/>
                <w:sz w:val="28"/>
                <w:szCs w:val="28"/>
              </w:rPr>
            </w:pPr>
            <w:r w:rsidRPr="00BB6B5D">
              <w:rPr>
                <w:rFonts w:ascii="Times New Roman" w:hAnsi="Times New Roman" w:cs="Times New Roman"/>
                <w:bCs/>
                <w:sz w:val="28"/>
                <w:szCs w:val="28"/>
              </w:rPr>
              <w:t>Quy định cụ thể điều kiện hỗ trợ</w:t>
            </w:r>
          </w:p>
        </w:tc>
      </w:tr>
      <w:tr w:rsidR="00046E31" w:rsidRPr="00BB6B5D" w14:paraId="6006163E" w14:textId="77777777" w:rsidTr="00CE7D29">
        <w:tc>
          <w:tcPr>
            <w:tcW w:w="4106" w:type="dxa"/>
            <w:vAlign w:val="center"/>
          </w:tcPr>
          <w:p w14:paraId="17B167BB" w14:textId="47B4206E" w:rsidR="00046E31" w:rsidRPr="00BB6B5D" w:rsidRDefault="00046E31" w:rsidP="007906CC">
            <w:pPr>
              <w:shd w:val="clear" w:color="auto" w:fill="FFFFFF"/>
              <w:spacing w:before="120"/>
              <w:rPr>
                <w:rFonts w:ascii="Times New Roman" w:hAnsi="Times New Roman" w:cs="Times New Roman"/>
                <w:b/>
                <w:bCs/>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6</w:t>
            </w:r>
            <w:r w:rsidRPr="00BB6B5D">
              <w:rPr>
                <w:rFonts w:ascii="Times New Roman" w:hAnsi="Times New Roman" w:cs="Times New Roman"/>
                <w:sz w:val="28"/>
                <w:szCs w:val="28"/>
              </w:rPr>
              <w:t>. Hồ sơ đề nghị hỗ trợ</w:t>
            </w:r>
          </w:p>
        </w:tc>
        <w:tc>
          <w:tcPr>
            <w:tcW w:w="5103" w:type="dxa"/>
          </w:tcPr>
          <w:p w14:paraId="0BE540A9"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Cho phép tiếp nhận hồ sơ điện tử có chữ ký số; đồng bộ với quy định tiếp nhận, xử lý hồ sơ hành chính trên Cổng DVCQG</w:t>
            </w:r>
          </w:p>
          <w:p w14:paraId="74EE510F"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Luật Giao dịch điện tử 2023; </w:t>
            </w:r>
          </w:p>
          <w:p w14:paraId="75A89918"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Nghị định 118/2025/NĐ-CP ngày 09/06/2025 về thực hiện thủ tục hành chính theo cơ chế một cửa, một cửa liên thông tại </w:t>
            </w:r>
            <w:r w:rsidRPr="00BB6B5D">
              <w:rPr>
                <w:rFonts w:ascii="Times New Roman" w:hAnsi="Times New Roman" w:cs="Times New Roman"/>
                <w:sz w:val="28"/>
                <w:szCs w:val="28"/>
              </w:rPr>
              <w:lastRenderedPageBreak/>
              <w:t>Bộ phận Một cửa và Cổng Dịch vụ công quốc gia</w:t>
            </w:r>
          </w:p>
        </w:tc>
      </w:tr>
      <w:tr w:rsidR="00046E31" w:rsidRPr="00BB6B5D" w14:paraId="2A1C37F9" w14:textId="77777777" w:rsidTr="00CE7D29">
        <w:tc>
          <w:tcPr>
            <w:tcW w:w="4106" w:type="dxa"/>
            <w:vAlign w:val="center"/>
          </w:tcPr>
          <w:p w14:paraId="64903159" w14:textId="78EE7A96" w:rsidR="00046E31" w:rsidRPr="00BB6B5D" w:rsidRDefault="00046E31" w:rsidP="002961E2">
            <w:pPr>
              <w:shd w:val="clear" w:color="auto" w:fill="FFFFFF"/>
              <w:spacing w:before="120"/>
              <w:jc w:val="both"/>
              <w:rPr>
                <w:rFonts w:ascii="Times New Roman" w:hAnsi="Times New Roman" w:cs="Times New Roman"/>
                <w:b/>
                <w:bCs/>
                <w:sz w:val="28"/>
                <w:szCs w:val="28"/>
              </w:rPr>
            </w:pPr>
            <w:r w:rsidRPr="00BB6B5D">
              <w:rPr>
                <w:rFonts w:ascii="Times New Roman" w:hAnsi="Times New Roman" w:cs="Times New Roman"/>
                <w:sz w:val="28"/>
                <w:szCs w:val="28"/>
              </w:rPr>
              <w:lastRenderedPageBreak/>
              <w:t xml:space="preserve">Điều </w:t>
            </w:r>
            <w:r w:rsidR="00BC63FE">
              <w:rPr>
                <w:rFonts w:ascii="Times New Roman" w:hAnsi="Times New Roman" w:cs="Times New Roman"/>
                <w:sz w:val="28"/>
                <w:szCs w:val="28"/>
                <w:lang w:val="en-US"/>
              </w:rPr>
              <w:t>7</w:t>
            </w:r>
            <w:r w:rsidRPr="00BB6B5D">
              <w:rPr>
                <w:rFonts w:ascii="Times New Roman" w:hAnsi="Times New Roman" w:cs="Times New Roman"/>
                <w:sz w:val="28"/>
                <w:szCs w:val="28"/>
              </w:rPr>
              <w:t>. Trình tự, thủ tục xét duyệt hỗ trợ</w:t>
            </w:r>
          </w:p>
        </w:tc>
        <w:tc>
          <w:tcPr>
            <w:tcW w:w="5103" w:type="dxa"/>
          </w:tcPr>
          <w:p w14:paraId="0AC20198" w14:textId="77777777" w:rsidR="00046E31" w:rsidRPr="00BB6B5D" w:rsidRDefault="00046E31" w:rsidP="007906CC">
            <w:pPr>
              <w:spacing w:before="120"/>
              <w:jc w:val="both"/>
              <w:rPr>
                <w:rFonts w:ascii="Times New Roman" w:hAnsi="Times New Roman" w:cs="Times New Roman"/>
                <w:b/>
                <w:bCs/>
                <w:sz w:val="28"/>
                <w:szCs w:val="28"/>
              </w:rPr>
            </w:pPr>
            <w:r w:rsidRPr="00BB6B5D">
              <w:rPr>
                <w:rFonts w:ascii="Times New Roman" w:hAnsi="Times New Roman" w:cs="Times New Roman"/>
                <w:sz w:val="28"/>
                <w:szCs w:val="28"/>
              </w:rPr>
              <w:t>Nghị định 118/2025/NĐ-CP ngày 09/06/2025 về thực hiện thủ tục hành chính theo cơ chế một cửa, một cửa liên thông tại Bộ phận Một cửa và Cổng Dịch vụ công quốc gia</w:t>
            </w:r>
          </w:p>
          <w:p w14:paraId="4FC3EB06"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 Nghị định 19/2025/NĐ-CP ngày 10/02/2025 quy định chi tiết Luật Đầu tư về thủ tục đầu tư đặc biệt</w:t>
            </w:r>
          </w:p>
        </w:tc>
      </w:tr>
      <w:tr w:rsidR="00046E31" w:rsidRPr="00BB6B5D" w14:paraId="0797607B" w14:textId="77777777" w:rsidTr="00CE7D29">
        <w:tc>
          <w:tcPr>
            <w:tcW w:w="4106" w:type="dxa"/>
            <w:vAlign w:val="center"/>
          </w:tcPr>
          <w:p w14:paraId="179C096D" w14:textId="45D54AA2" w:rsidR="00046E31" w:rsidRPr="00BB6B5D" w:rsidRDefault="00046E31" w:rsidP="007906CC">
            <w:pPr>
              <w:shd w:val="clear" w:color="auto" w:fill="FFFFFF"/>
              <w:spacing w:before="120"/>
              <w:rPr>
                <w:rFonts w:ascii="Times New Roman" w:hAnsi="Times New Roman" w:cs="Times New Roman"/>
                <w:bCs/>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8</w:t>
            </w:r>
            <w:r w:rsidRPr="00BB6B5D">
              <w:rPr>
                <w:rFonts w:ascii="Times New Roman" w:hAnsi="Times New Roman" w:cs="Times New Roman"/>
                <w:sz w:val="28"/>
                <w:szCs w:val="28"/>
              </w:rPr>
              <w:t>. Nội dung và mức hỗ trợ</w:t>
            </w:r>
          </w:p>
        </w:tc>
        <w:tc>
          <w:tcPr>
            <w:tcW w:w="5103" w:type="dxa"/>
          </w:tcPr>
          <w:p w14:paraId="58225664" w14:textId="77777777" w:rsidR="00046E31" w:rsidRPr="00BB6B5D" w:rsidRDefault="00046E31" w:rsidP="007906CC">
            <w:pPr>
              <w:shd w:val="clear" w:color="auto" w:fill="FFFFFF"/>
              <w:spacing w:before="120"/>
              <w:jc w:val="both"/>
              <w:rPr>
                <w:rFonts w:ascii="Times New Roman" w:hAnsi="Times New Roman" w:cs="Times New Roman"/>
                <w:sz w:val="28"/>
                <w:szCs w:val="28"/>
              </w:rPr>
            </w:pPr>
            <w:r w:rsidRPr="00BB6B5D">
              <w:rPr>
                <w:rFonts w:ascii="Times New Roman" w:hAnsi="Times New Roman" w:cs="Times New Roman"/>
                <w:sz w:val="28"/>
                <w:szCs w:val="28"/>
              </w:rPr>
              <w:t>Điều 29 Luật Công nghiệp công nghệ số 2025</w:t>
            </w:r>
          </w:p>
          <w:p w14:paraId="4C1CCAA8" w14:textId="1940B92D" w:rsidR="00046E31" w:rsidRPr="002961E2" w:rsidRDefault="002961E2" w:rsidP="002961E2">
            <w:pPr>
              <w:shd w:val="clear" w:color="auto" w:fill="FFFFFF"/>
              <w:spacing w:before="120"/>
              <w:jc w:val="both"/>
              <w:rPr>
                <w:rFonts w:ascii="Times New Roman" w:hAnsi="Times New Roman" w:cs="Times New Roman"/>
                <w:sz w:val="28"/>
                <w:szCs w:val="28"/>
              </w:rPr>
            </w:pPr>
            <w:r w:rsidRPr="002961E2">
              <w:rPr>
                <w:rFonts w:ascii="Times New Roman" w:hAnsi="Times New Roman" w:cs="Times New Roman"/>
                <w:sz w:val="28"/>
                <w:szCs w:val="28"/>
              </w:rPr>
              <w:t xml:space="preserve">Luật Ngân sách nhà nước số 89/2025/QH15; </w:t>
            </w:r>
          </w:p>
        </w:tc>
      </w:tr>
      <w:tr w:rsidR="00046E31" w:rsidRPr="00BB6B5D" w14:paraId="387A693F" w14:textId="77777777" w:rsidTr="00CE7D29">
        <w:tc>
          <w:tcPr>
            <w:tcW w:w="4106" w:type="dxa"/>
            <w:vAlign w:val="center"/>
          </w:tcPr>
          <w:p w14:paraId="555D132B" w14:textId="7CDECD92" w:rsidR="00046E31" w:rsidRPr="00BB6B5D" w:rsidRDefault="00046E31" w:rsidP="007906CC">
            <w:pPr>
              <w:shd w:val="clear" w:color="auto" w:fill="FFFFFF"/>
              <w:spacing w:before="120"/>
              <w:rPr>
                <w:rFonts w:ascii="Times New Roman" w:hAnsi="Times New Roman" w:cs="Times New Roman"/>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9</w:t>
            </w:r>
            <w:r w:rsidRPr="00BB6B5D">
              <w:rPr>
                <w:rFonts w:ascii="Times New Roman" w:hAnsi="Times New Roman" w:cs="Times New Roman"/>
                <w:sz w:val="28"/>
                <w:szCs w:val="28"/>
              </w:rPr>
              <w:t>. Nguồn kinh phí thực hiện</w:t>
            </w:r>
          </w:p>
        </w:tc>
        <w:tc>
          <w:tcPr>
            <w:tcW w:w="5103" w:type="dxa"/>
          </w:tcPr>
          <w:p w14:paraId="6EB53335" w14:textId="7682C8AB"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Quy định nguồn chi đầu tư phát triển cấp tỉnh, đảm bảo thống nhất theo khoản </w:t>
            </w:r>
            <w:r w:rsidR="002961E2" w:rsidRPr="002961E2">
              <w:rPr>
                <w:rFonts w:ascii="Times New Roman" w:hAnsi="Times New Roman" w:cs="Times New Roman"/>
                <w:sz w:val="28"/>
                <w:szCs w:val="28"/>
              </w:rPr>
              <w:t>3</w:t>
            </w:r>
            <w:r w:rsidRPr="00BB6B5D">
              <w:rPr>
                <w:rFonts w:ascii="Times New Roman" w:hAnsi="Times New Roman" w:cs="Times New Roman"/>
                <w:sz w:val="28"/>
                <w:szCs w:val="28"/>
              </w:rPr>
              <w:t xml:space="preserve"> Điều 29 Luật Công nghiệp công nghệ số</w:t>
            </w:r>
          </w:p>
        </w:tc>
      </w:tr>
      <w:tr w:rsidR="00046E31" w:rsidRPr="00BB6B5D" w14:paraId="68FC7C51" w14:textId="77777777" w:rsidTr="00CE7D29">
        <w:tc>
          <w:tcPr>
            <w:tcW w:w="4106" w:type="dxa"/>
            <w:vAlign w:val="center"/>
          </w:tcPr>
          <w:p w14:paraId="4B246C6E" w14:textId="215E3807" w:rsidR="00046E31" w:rsidRPr="00BB6B5D" w:rsidRDefault="00046E31" w:rsidP="007906CC">
            <w:pPr>
              <w:shd w:val="clear" w:color="auto" w:fill="FFFFFF"/>
              <w:spacing w:before="120"/>
              <w:rPr>
                <w:rFonts w:ascii="Times New Roman" w:hAnsi="Times New Roman" w:cs="Times New Roman"/>
                <w:sz w:val="28"/>
                <w:szCs w:val="28"/>
              </w:rPr>
            </w:pPr>
            <w:r w:rsidRPr="00BB6B5D">
              <w:rPr>
                <w:rFonts w:ascii="Times New Roman" w:hAnsi="Times New Roman" w:cs="Times New Roman"/>
                <w:sz w:val="28"/>
                <w:szCs w:val="28"/>
              </w:rPr>
              <w:t>Điều 1</w:t>
            </w:r>
            <w:r w:rsidR="00BC63FE">
              <w:rPr>
                <w:rFonts w:ascii="Times New Roman" w:hAnsi="Times New Roman" w:cs="Times New Roman"/>
                <w:sz w:val="28"/>
                <w:szCs w:val="28"/>
                <w:lang w:val="en-US"/>
              </w:rPr>
              <w:t>0</w:t>
            </w:r>
            <w:r w:rsidRPr="00BB6B5D">
              <w:rPr>
                <w:rFonts w:ascii="Times New Roman" w:hAnsi="Times New Roman" w:cs="Times New Roman"/>
                <w:sz w:val="28"/>
                <w:szCs w:val="28"/>
              </w:rPr>
              <w:t>. Giám sát, đánh giá</w:t>
            </w:r>
          </w:p>
        </w:tc>
        <w:tc>
          <w:tcPr>
            <w:tcW w:w="5103" w:type="dxa"/>
          </w:tcPr>
          <w:p w14:paraId="4F6089EF" w14:textId="77777777" w:rsidR="00046E31" w:rsidRPr="00BB6B5D" w:rsidRDefault="00046E31" w:rsidP="007906CC">
            <w:pPr>
              <w:spacing w:before="120"/>
              <w:jc w:val="both"/>
              <w:rPr>
                <w:rFonts w:ascii="Times New Roman" w:hAnsi="Times New Roman" w:cs="Times New Roman"/>
                <w:sz w:val="28"/>
                <w:szCs w:val="28"/>
              </w:rPr>
            </w:pPr>
            <w:r w:rsidRPr="00BB6B5D">
              <w:rPr>
                <w:rFonts w:ascii="Times New Roman" w:hAnsi="Times New Roman" w:cs="Times New Roman"/>
                <w:sz w:val="28"/>
                <w:szCs w:val="28"/>
              </w:rPr>
              <w:t>Quy định rõ cơ chế kiểm tra, báo cáo</w:t>
            </w:r>
          </w:p>
          <w:p w14:paraId="42A25750" w14:textId="27AFC73D" w:rsidR="00046E31" w:rsidRPr="002961E2" w:rsidRDefault="00046E31" w:rsidP="007906CC">
            <w:pPr>
              <w:spacing w:before="120"/>
              <w:jc w:val="both"/>
              <w:rPr>
                <w:rFonts w:ascii="Times New Roman" w:hAnsi="Times New Roman" w:cs="Times New Roman"/>
                <w:sz w:val="28"/>
                <w:szCs w:val="28"/>
                <w:lang w:val="en-US"/>
              </w:rPr>
            </w:pPr>
            <w:r w:rsidRPr="00BB6B5D">
              <w:rPr>
                <w:rFonts w:ascii="Times New Roman" w:hAnsi="Times New Roman" w:cs="Times New Roman"/>
                <w:sz w:val="28"/>
                <w:szCs w:val="28"/>
              </w:rPr>
              <w:t xml:space="preserve">Luật Thanh tra 2022; </w:t>
            </w:r>
          </w:p>
        </w:tc>
      </w:tr>
      <w:tr w:rsidR="00046E31" w:rsidRPr="00BB6B5D" w14:paraId="5A5D75BB" w14:textId="77777777" w:rsidTr="00CE7D29">
        <w:tc>
          <w:tcPr>
            <w:tcW w:w="4106" w:type="dxa"/>
            <w:vAlign w:val="center"/>
          </w:tcPr>
          <w:p w14:paraId="393A219E" w14:textId="6D5AF0FC" w:rsidR="00046E31" w:rsidRPr="00BB6B5D" w:rsidRDefault="00046E31" w:rsidP="002961E2">
            <w:pPr>
              <w:shd w:val="clear" w:color="auto" w:fill="FFFFFF"/>
              <w:spacing w:before="120"/>
              <w:jc w:val="both"/>
              <w:rPr>
                <w:rFonts w:ascii="Times New Roman" w:hAnsi="Times New Roman" w:cs="Times New Roman"/>
                <w:sz w:val="28"/>
                <w:szCs w:val="28"/>
              </w:rPr>
            </w:pPr>
            <w:r w:rsidRPr="00BB6B5D">
              <w:rPr>
                <w:rFonts w:ascii="Times New Roman" w:hAnsi="Times New Roman" w:cs="Times New Roman"/>
                <w:sz w:val="28"/>
                <w:szCs w:val="28"/>
              </w:rPr>
              <w:t xml:space="preserve">Điều </w:t>
            </w:r>
            <w:r w:rsidR="00BC63FE">
              <w:rPr>
                <w:rFonts w:ascii="Times New Roman" w:hAnsi="Times New Roman" w:cs="Times New Roman"/>
                <w:sz w:val="28"/>
                <w:szCs w:val="28"/>
                <w:lang w:val="en-US"/>
              </w:rPr>
              <w:t>11</w:t>
            </w:r>
            <w:r w:rsidRPr="00BB6B5D">
              <w:rPr>
                <w:rFonts w:ascii="Times New Roman" w:hAnsi="Times New Roman" w:cs="Times New Roman"/>
                <w:sz w:val="28"/>
                <w:szCs w:val="28"/>
              </w:rPr>
              <w:t>. Xử lý vi phạm và hoàn trả kinh phí</w:t>
            </w:r>
          </w:p>
        </w:tc>
        <w:tc>
          <w:tcPr>
            <w:tcW w:w="5103" w:type="dxa"/>
          </w:tcPr>
          <w:p w14:paraId="06287D59" w14:textId="77777777" w:rsidR="00046E31" w:rsidRPr="00BB6B5D" w:rsidRDefault="00046E31" w:rsidP="007906CC">
            <w:pPr>
              <w:spacing w:before="120"/>
              <w:jc w:val="both"/>
              <w:rPr>
                <w:rFonts w:ascii="Times New Roman" w:hAnsi="Times New Roman" w:cs="Times New Roman"/>
                <w:sz w:val="28"/>
                <w:szCs w:val="28"/>
              </w:rPr>
            </w:pPr>
            <w:r w:rsidRPr="00D82377">
              <w:rPr>
                <w:rFonts w:ascii="Times New Roman" w:hAnsi="Times New Roman" w:cs="Times New Roman"/>
                <w:sz w:val="28"/>
                <w:szCs w:val="28"/>
              </w:rPr>
              <w:t>Bảo đảm quản lý chặt chẽ, sử dụng đúng mục đích nguồn ngân sách nhà nước hỗ trợ các dự án khởi nghiệp sáng tạo trong công nghiệp công nghệ số.</w:t>
            </w:r>
          </w:p>
        </w:tc>
      </w:tr>
      <w:tr w:rsidR="00046E31" w:rsidRPr="00BB6B5D" w14:paraId="70EF698C" w14:textId="77777777" w:rsidTr="00CE7D29">
        <w:tc>
          <w:tcPr>
            <w:tcW w:w="4106" w:type="dxa"/>
            <w:vAlign w:val="center"/>
          </w:tcPr>
          <w:p w14:paraId="4E7A5BD4" w14:textId="105495DA" w:rsidR="00046E31" w:rsidRPr="00BB6B5D" w:rsidRDefault="00046E31" w:rsidP="007906CC">
            <w:pPr>
              <w:shd w:val="clear" w:color="auto" w:fill="FFFFFF"/>
              <w:spacing w:before="120"/>
              <w:rPr>
                <w:rFonts w:ascii="Times New Roman" w:hAnsi="Times New Roman" w:cs="Times New Roman"/>
                <w:sz w:val="28"/>
                <w:szCs w:val="28"/>
              </w:rPr>
            </w:pPr>
            <w:r w:rsidRPr="00BB6B5D">
              <w:rPr>
                <w:rFonts w:ascii="Times New Roman" w:hAnsi="Times New Roman" w:cs="Times New Roman"/>
                <w:sz w:val="28"/>
                <w:szCs w:val="28"/>
              </w:rPr>
              <w:t>Điều 1</w:t>
            </w:r>
            <w:r w:rsidR="00BC63FE">
              <w:rPr>
                <w:rFonts w:ascii="Times New Roman" w:hAnsi="Times New Roman" w:cs="Times New Roman"/>
                <w:sz w:val="28"/>
                <w:szCs w:val="28"/>
                <w:lang w:val="en-US"/>
              </w:rPr>
              <w:t>2</w:t>
            </w:r>
            <w:r w:rsidRPr="00BB6B5D">
              <w:rPr>
                <w:rFonts w:ascii="Times New Roman" w:hAnsi="Times New Roman" w:cs="Times New Roman"/>
                <w:sz w:val="28"/>
                <w:szCs w:val="28"/>
              </w:rPr>
              <w:t>. Tổ chức thực hiện</w:t>
            </w:r>
          </w:p>
        </w:tc>
        <w:tc>
          <w:tcPr>
            <w:tcW w:w="5103" w:type="dxa"/>
          </w:tcPr>
          <w:p w14:paraId="4721A623" w14:textId="77777777" w:rsidR="00046E31" w:rsidRPr="00BB6B5D" w:rsidRDefault="00046E31" w:rsidP="007906CC">
            <w:pPr>
              <w:spacing w:before="120"/>
              <w:jc w:val="both"/>
              <w:rPr>
                <w:rFonts w:ascii="Times New Roman" w:hAnsi="Times New Roman" w:cs="Times New Roman"/>
                <w:sz w:val="28"/>
                <w:szCs w:val="28"/>
              </w:rPr>
            </w:pPr>
            <w:r w:rsidRPr="00D47A5F">
              <w:rPr>
                <w:rFonts w:ascii="Times New Roman" w:hAnsi="Times New Roman" w:cs="Times New Roman"/>
                <w:sz w:val="28"/>
                <w:szCs w:val="28"/>
              </w:rPr>
              <w:t>Giao nhiệm vụ cho các cơ quan, đơn vị, cá nhân tổ chức thực hiện Nghị quyết.</w:t>
            </w:r>
          </w:p>
        </w:tc>
      </w:tr>
      <w:tr w:rsidR="00046E31" w:rsidRPr="00BB6B5D" w14:paraId="45F5743A" w14:textId="77777777" w:rsidTr="00CE7D29">
        <w:tc>
          <w:tcPr>
            <w:tcW w:w="4106" w:type="dxa"/>
            <w:vAlign w:val="center"/>
          </w:tcPr>
          <w:p w14:paraId="2BB12216" w14:textId="26D75175" w:rsidR="00046E31" w:rsidRPr="00BB6B5D" w:rsidRDefault="00046E31" w:rsidP="007906CC">
            <w:pPr>
              <w:shd w:val="clear" w:color="auto" w:fill="FFFFFF"/>
              <w:spacing w:before="120"/>
              <w:rPr>
                <w:rFonts w:ascii="Times New Roman" w:hAnsi="Times New Roman" w:cs="Times New Roman"/>
                <w:sz w:val="28"/>
                <w:szCs w:val="28"/>
              </w:rPr>
            </w:pPr>
            <w:r w:rsidRPr="00BB6B5D">
              <w:rPr>
                <w:rFonts w:ascii="Times New Roman" w:hAnsi="Times New Roman" w:cs="Times New Roman"/>
                <w:sz w:val="28"/>
                <w:szCs w:val="28"/>
              </w:rPr>
              <w:t>Điều 1</w:t>
            </w:r>
            <w:r w:rsidR="00BC63FE">
              <w:rPr>
                <w:rFonts w:ascii="Times New Roman" w:hAnsi="Times New Roman" w:cs="Times New Roman"/>
                <w:sz w:val="28"/>
                <w:szCs w:val="28"/>
                <w:lang w:val="en-US"/>
              </w:rPr>
              <w:t>3</w:t>
            </w:r>
            <w:r w:rsidRPr="00BB6B5D">
              <w:rPr>
                <w:rFonts w:ascii="Times New Roman" w:hAnsi="Times New Roman" w:cs="Times New Roman"/>
                <w:sz w:val="28"/>
                <w:szCs w:val="28"/>
              </w:rPr>
              <w:t>. Hiệu lực thi hành</w:t>
            </w:r>
          </w:p>
        </w:tc>
        <w:tc>
          <w:tcPr>
            <w:tcW w:w="5103" w:type="dxa"/>
          </w:tcPr>
          <w:p w14:paraId="45757424" w14:textId="77777777" w:rsidR="00046E31" w:rsidRPr="00BB6B5D" w:rsidRDefault="00046E31" w:rsidP="007906CC">
            <w:pPr>
              <w:spacing w:before="120"/>
              <w:jc w:val="both"/>
              <w:rPr>
                <w:rFonts w:ascii="Times New Roman" w:hAnsi="Times New Roman" w:cs="Times New Roman"/>
                <w:sz w:val="28"/>
                <w:szCs w:val="28"/>
              </w:rPr>
            </w:pPr>
            <w:r w:rsidRPr="003C2B9A">
              <w:rPr>
                <w:rFonts w:ascii="Times New Roman" w:hAnsi="Times New Roman" w:cs="Times New Roman"/>
                <w:sz w:val="28"/>
                <w:szCs w:val="28"/>
              </w:rPr>
              <w:t>Quy định cụ thể về thời điểm có hiệu lực của Nghị quyết theo quy định đối với văn bản quy phạm pháp luật</w:t>
            </w:r>
          </w:p>
        </w:tc>
      </w:tr>
    </w:tbl>
    <w:p w14:paraId="2C861C7C" w14:textId="77777777" w:rsidR="00046E31" w:rsidRPr="00046E31" w:rsidRDefault="00046E31" w:rsidP="00CA07A3">
      <w:pPr>
        <w:spacing w:before="120" w:after="0" w:line="240" w:lineRule="auto"/>
        <w:ind w:firstLine="567"/>
        <w:jc w:val="both"/>
        <w:rPr>
          <w:rFonts w:ascii="Times New Roman" w:hAnsi="Times New Roman" w:cs="Times New Roman"/>
          <w:b/>
          <w:bCs/>
          <w:sz w:val="28"/>
          <w:szCs w:val="28"/>
        </w:rPr>
      </w:pPr>
      <w:r w:rsidRPr="00046E31">
        <w:rPr>
          <w:rFonts w:ascii="Times New Roman" w:hAnsi="Times New Roman" w:cs="Times New Roman"/>
          <w:b/>
          <w:bCs/>
          <w:sz w:val="28"/>
          <w:szCs w:val="28"/>
        </w:rPr>
        <w:t>V. TÁC ĐỘNG DỰ KIẾN CỦA NGHỊ QUYẾT</w:t>
      </w:r>
    </w:p>
    <w:p w14:paraId="7AE313C6" w14:textId="77777777"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t>Việc ban hành và triển khai Nghị quyết dự kiến mang lại các tác động tích cực như: tạo điều kiện thuận lợi cho các dự án khởi nghiệp sáng tạo trong công nghiệp công nghệ số tiếp cận nguồn lực hỗ trợ; thúc đẩy hoạt động nghiên cứu, đổi mới sáng tạo và thương mại hóa sản phẩm công nghệ số; góp phần phát triển nguồn nhân lực công nghệ số chất lượng cao; hình thành và phát triển hệ sinh thái khởi nghiệp sáng tạo trong công nghiệp công nghệ số trên địa bàn tỉnh Lào Cai.</w:t>
      </w:r>
    </w:p>
    <w:p w14:paraId="3FF92B54" w14:textId="1B7167DD" w:rsidR="00046E31" w:rsidRPr="00215214" w:rsidRDefault="00046E31" w:rsidP="00CA07A3">
      <w:pPr>
        <w:spacing w:before="120" w:after="0" w:line="240" w:lineRule="auto"/>
        <w:ind w:firstLine="567"/>
        <w:jc w:val="both"/>
        <w:rPr>
          <w:rFonts w:ascii="Times New Roman" w:hAnsi="Times New Roman" w:cs="Times New Roman"/>
          <w:sz w:val="28"/>
          <w:szCs w:val="28"/>
        </w:rPr>
      </w:pPr>
      <w:r w:rsidRPr="00215214">
        <w:rPr>
          <w:rFonts w:ascii="Times New Roman" w:hAnsi="Times New Roman" w:cs="Times New Roman"/>
          <w:sz w:val="28"/>
          <w:szCs w:val="28"/>
        </w:rPr>
        <w:lastRenderedPageBreak/>
        <w:t>Bên cạnh đó, Nghị quyết cũng đặt ra yêu cầu tăng cường công tác thẩm định, giám sát để hạn chế rủi ro trong quá trình triển khai và bảo đảm sử dụng ngân sách nhà nước hiệu quả.</w:t>
      </w:r>
    </w:p>
    <w:p w14:paraId="2C3FF9D9" w14:textId="77777777" w:rsidR="00046E31" w:rsidRPr="00215214" w:rsidRDefault="00046E31" w:rsidP="00CA07A3">
      <w:pPr>
        <w:spacing w:before="120" w:after="0" w:line="240" w:lineRule="auto"/>
        <w:ind w:firstLine="567"/>
        <w:jc w:val="both"/>
        <w:rPr>
          <w:rFonts w:ascii="Times New Roman" w:hAnsi="Times New Roman" w:cs="Times New Roman"/>
          <w:b/>
          <w:bCs/>
          <w:sz w:val="28"/>
          <w:szCs w:val="28"/>
        </w:rPr>
      </w:pPr>
      <w:r w:rsidRPr="00215214">
        <w:rPr>
          <w:rFonts w:ascii="Times New Roman" w:hAnsi="Times New Roman" w:cs="Times New Roman"/>
          <w:b/>
          <w:bCs/>
          <w:sz w:val="28"/>
          <w:szCs w:val="28"/>
        </w:rPr>
        <w:t>VI. KẾT LUẬN</w:t>
      </w:r>
    </w:p>
    <w:p w14:paraId="665CD156" w14:textId="67FFEFBD" w:rsidR="00046E31" w:rsidRPr="00CE7D29" w:rsidRDefault="00046E31" w:rsidP="00CA07A3">
      <w:pPr>
        <w:spacing w:before="120" w:after="0" w:line="240" w:lineRule="auto"/>
        <w:ind w:firstLine="567"/>
        <w:jc w:val="both"/>
        <w:rPr>
          <w:rFonts w:ascii="Times New Roman" w:hAnsi="Times New Roman" w:cs="Times New Roman"/>
          <w:sz w:val="28"/>
          <w:szCs w:val="28"/>
          <w:lang w:val="en-US"/>
        </w:rPr>
      </w:pPr>
      <w:r w:rsidRPr="00215214">
        <w:rPr>
          <w:rFonts w:ascii="Times New Roman" w:hAnsi="Times New Roman" w:cs="Times New Roman"/>
          <w:sz w:val="28"/>
          <w:szCs w:val="28"/>
        </w:rPr>
        <w:t>Dự thảo Nghị quyết được xây dựng đúng thẩm quyền của Hội đồng nhân dân tỉnh, phù hợp với quy định của Luật Công nghiệp công nghệ số và các văn bản pháp luật có liên quan; nội dung được thiết kế thống nhất, đồng bộ với Tờ trình của Ủy ban nhân dân tỉnh, Báo cáo đánh giá tác động của chính sách và các phụ lục kèm theo. Việc ban hành Nghị quyết là cần thiết và có đủ cơ sở pháp lý, thực tiễn để trình Hội đồng nhân dân tỉnh Lào Cai xem xét, quyết định.</w:t>
      </w:r>
      <w:r w:rsidR="00CE7D29">
        <w:rPr>
          <w:rFonts w:ascii="Times New Roman" w:hAnsi="Times New Roman" w:cs="Times New Roman"/>
          <w:sz w:val="28"/>
          <w:szCs w:val="28"/>
          <w:lang w:val="en-US"/>
        </w:rPr>
        <w:t>/.</w:t>
      </w:r>
    </w:p>
    <w:p w14:paraId="13DB6173" w14:textId="77777777" w:rsidR="001472EF" w:rsidRPr="00BB6B5D" w:rsidRDefault="001472EF" w:rsidP="00C05C52">
      <w:pPr>
        <w:spacing w:after="0" w:line="240" w:lineRule="auto"/>
        <w:rPr>
          <w:rFonts w:ascii="Times New Roman" w:hAnsi="Times New Roman" w:cs="Times New Roman"/>
          <w:sz w:val="28"/>
          <w:szCs w:val="28"/>
        </w:rPr>
      </w:pPr>
    </w:p>
    <w:tbl>
      <w:tblPr>
        <w:tblW w:w="9067" w:type="dxa"/>
        <w:tblLook w:val="04A0" w:firstRow="1" w:lastRow="0" w:firstColumn="1" w:lastColumn="0" w:noHBand="0" w:noVBand="1"/>
      </w:tblPr>
      <w:tblGrid>
        <w:gridCol w:w="4596"/>
        <w:gridCol w:w="4471"/>
      </w:tblGrid>
      <w:tr w:rsidR="001472EF" w:rsidRPr="00BB6B5D" w14:paraId="50831A9B" w14:textId="77777777" w:rsidTr="00C05C52">
        <w:trPr>
          <w:trHeight w:val="896"/>
        </w:trPr>
        <w:tc>
          <w:tcPr>
            <w:tcW w:w="4596" w:type="dxa"/>
          </w:tcPr>
          <w:p w14:paraId="708792ED" w14:textId="77777777" w:rsidR="001472EF" w:rsidRPr="00C05C52" w:rsidRDefault="001472EF" w:rsidP="00C05C52">
            <w:pPr>
              <w:spacing w:after="0" w:line="240" w:lineRule="auto"/>
              <w:jc w:val="both"/>
              <w:rPr>
                <w:rFonts w:ascii="Times New Roman" w:hAnsi="Times New Roman" w:cs="Times New Roman"/>
                <w:b/>
                <w:i/>
                <w:sz w:val="24"/>
                <w:szCs w:val="24"/>
              </w:rPr>
            </w:pPr>
            <w:r w:rsidRPr="00C05C52">
              <w:rPr>
                <w:rFonts w:ascii="Times New Roman" w:hAnsi="Times New Roman" w:cs="Times New Roman"/>
                <w:b/>
                <w:i/>
                <w:sz w:val="24"/>
                <w:szCs w:val="24"/>
              </w:rPr>
              <w:t>Nơi nhận:</w:t>
            </w:r>
          </w:p>
          <w:p w14:paraId="1C1C7B92" w14:textId="18AFD699" w:rsidR="001472EF" w:rsidRPr="00C05C52" w:rsidRDefault="001472EF" w:rsidP="00C05C52">
            <w:pPr>
              <w:spacing w:after="0" w:line="240" w:lineRule="auto"/>
              <w:jc w:val="both"/>
              <w:rPr>
                <w:rFonts w:ascii="Times New Roman" w:hAnsi="Times New Roman" w:cs="Times New Roman"/>
              </w:rPr>
            </w:pPr>
            <w:r w:rsidRPr="00C05C52">
              <w:rPr>
                <w:rFonts w:ascii="Times New Roman" w:hAnsi="Times New Roman" w:cs="Times New Roman"/>
              </w:rPr>
              <w:t>- UBND tỉnh;</w:t>
            </w:r>
          </w:p>
          <w:p w14:paraId="0BBD520E" w14:textId="6A65F3FA" w:rsidR="001472EF" w:rsidRPr="00C05C52" w:rsidRDefault="001472EF" w:rsidP="00C05C52">
            <w:pPr>
              <w:spacing w:after="0" w:line="240" w:lineRule="auto"/>
              <w:jc w:val="both"/>
              <w:rPr>
                <w:rFonts w:ascii="Times New Roman" w:hAnsi="Times New Roman" w:cs="Times New Roman"/>
              </w:rPr>
            </w:pPr>
            <w:r w:rsidRPr="00C05C52">
              <w:rPr>
                <w:rFonts w:ascii="Times New Roman" w:hAnsi="Times New Roman" w:cs="Times New Roman"/>
              </w:rPr>
              <w:t xml:space="preserve">- </w:t>
            </w:r>
            <w:r w:rsidR="00C05C52" w:rsidRPr="00C05C52">
              <w:rPr>
                <w:rFonts w:ascii="Times New Roman" w:hAnsi="Times New Roman" w:cs="Times New Roman"/>
              </w:rPr>
              <w:t>Lãnh đạo</w:t>
            </w:r>
            <w:r w:rsidR="00FD057A" w:rsidRPr="00C05C52">
              <w:rPr>
                <w:rFonts w:ascii="Times New Roman" w:hAnsi="Times New Roman" w:cs="Times New Roman"/>
              </w:rPr>
              <w:t xml:space="preserve"> Sở;</w:t>
            </w:r>
          </w:p>
          <w:p w14:paraId="79019788" w14:textId="63EFB4DD" w:rsidR="001472EF" w:rsidRPr="00C05C52" w:rsidRDefault="001472EF" w:rsidP="00C05C52">
            <w:pPr>
              <w:spacing w:after="0" w:line="240" w:lineRule="auto"/>
              <w:jc w:val="both"/>
              <w:rPr>
                <w:rFonts w:ascii="Times New Roman" w:hAnsi="Times New Roman" w:cs="Times New Roman"/>
                <w:szCs w:val="26"/>
              </w:rPr>
            </w:pPr>
            <w:r w:rsidRPr="00C05C52">
              <w:rPr>
                <w:rFonts w:ascii="Times New Roman" w:hAnsi="Times New Roman" w:cs="Times New Roman"/>
              </w:rPr>
              <w:t>- Lưu: VT</w:t>
            </w:r>
            <w:r w:rsidR="00FD057A" w:rsidRPr="00C05C52">
              <w:rPr>
                <w:rFonts w:ascii="Times New Roman" w:hAnsi="Times New Roman" w:cs="Times New Roman"/>
              </w:rPr>
              <w:t>, ĐMST.</w:t>
            </w:r>
          </w:p>
        </w:tc>
        <w:tc>
          <w:tcPr>
            <w:tcW w:w="4471" w:type="dxa"/>
          </w:tcPr>
          <w:p w14:paraId="4D1F424D" w14:textId="77777777" w:rsidR="001472EF" w:rsidRPr="00BB6B5D" w:rsidRDefault="001472EF" w:rsidP="00C05C52">
            <w:pPr>
              <w:spacing w:after="0" w:line="240" w:lineRule="auto"/>
              <w:jc w:val="center"/>
              <w:rPr>
                <w:rFonts w:ascii="Times New Roman" w:hAnsi="Times New Roman" w:cs="Times New Roman"/>
                <w:b/>
                <w:sz w:val="28"/>
                <w:szCs w:val="28"/>
              </w:rPr>
            </w:pPr>
            <w:r w:rsidRPr="00BB6B5D">
              <w:rPr>
                <w:rFonts w:ascii="Times New Roman" w:hAnsi="Times New Roman" w:cs="Times New Roman"/>
                <w:b/>
                <w:sz w:val="28"/>
                <w:szCs w:val="28"/>
              </w:rPr>
              <w:t>KT. GIÁM ĐỐC</w:t>
            </w:r>
          </w:p>
          <w:p w14:paraId="433F7497" w14:textId="77777777" w:rsidR="001472EF" w:rsidRPr="00BB6B5D" w:rsidRDefault="001472EF" w:rsidP="00C05C52">
            <w:pPr>
              <w:spacing w:after="0" w:line="240" w:lineRule="auto"/>
              <w:jc w:val="center"/>
              <w:rPr>
                <w:rFonts w:ascii="Times New Roman" w:hAnsi="Times New Roman" w:cs="Times New Roman"/>
                <w:b/>
                <w:sz w:val="28"/>
                <w:szCs w:val="28"/>
              </w:rPr>
            </w:pPr>
            <w:r w:rsidRPr="00BB6B5D">
              <w:rPr>
                <w:rFonts w:ascii="Times New Roman" w:hAnsi="Times New Roman" w:cs="Times New Roman"/>
                <w:b/>
                <w:sz w:val="28"/>
                <w:szCs w:val="28"/>
              </w:rPr>
              <w:t>PHÓ GIÁM ĐỐC</w:t>
            </w:r>
            <w:r w:rsidRPr="00BB6B5D">
              <w:rPr>
                <w:rFonts w:ascii="Times New Roman" w:hAnsi="Times New Roman" w:cs="Times New Roman"/>
                <w:b/>
                <w:sz w:val="28"/>
                <w:szCs w:val="28"/>
              </w:rPr>
              <w:br/>
            </w:r>
          </w:p>
          <w:p w14:paraId="74689EEB" w14:textId="77777777" w:rsidR="001472EF" w:rsidRPr="00215214" w:rsidRDefault="001472EF" w:rsidP="00C05C52">
            <w:pPr>
              <w:spacing w:after="0" w:line="240" w:lineRule="auto"/>
              <w:jc w:val="center"/>
              <w:rPr>
                <w:rFonts w:ascii="Times New Roman" w:hAnsi="Times New Roman" w:cs="Times New Roman"/>
                <w:b/>
                <w:sz w:val="28"/>
                <w:szCs w:val="28"/>
              </w:rPr>
            </w:pPr>
          </w:p>
          <w:p w14:paraId="6F199C88" w14:textId="77777777" w:rsidR="00C05C52" w:rsidRPr="00215214" w:rsidRDefault="00C05C52" w:rsidP="00C05C52">
            <w:pPr>
              <w:spacing w:after="0" w:line="240" w:lineRule="auto"/>
              <w:jc w:val="center"/>
              <w:rPr>
                <w:rFonts w:ascii="Times New Roman" w:hAnsi="Times New Roman" w:cs="Times New Roman"/>
                <w:b/>
                <w:sz w:val="28"/>
                <w:szCs w:val="28"/>
              </w:rPr>
            </w:pPr>
          </w:p>
          <w:p w14:paraId="6EA1F17E" w14:textId="77777777" w:rsidR="00C05C52" w:rsidRPr="00215214" w:rsidRDefault="00C05C52" w:rsidP="00C05C52">
            <w:pPr>
              <w:spacing w:after="0" w:line="240" w:lineRule="auto"/>
              <w:jc w:val="center"/>
              <w:rPr>
                <w:rFonts w:ascii="Times New Roman" w:hAnsi="Times New Roman" w:cs="Times New Roman"/>
                <w:b/>
                <w:sz w:val="28"/>
                <w:szCs w:val="28"/>
              </w:rPr>
            </w:pPr>
          </w:p>
          <w:p w14:paraId="6CA583F2" w14:textId="77777777" w:rsidR="001472EF" w:rsidRPr="00BB6B5D" w:rsidRDefault="001472EF" w:rsidP="00C05C52">
            <w:pPr>
              <w:spacing w:after="0" w:line="240" w:lineRule="auto"/>
              <w:jc w:val="center"/>
              <w:rPr>
                <w:rFonts w:ascii="Times New Roman" w:hAnsi="Times New Roman" w:cs="Times New Roman"/>
                <w:b/>
                <w:sz w:val="28"/>
                <w:szCs w:val="28"/>
              </w:rPr>
            </w:pPr>
          </w:p>
          <w:p w14:paraId="06D135A2" w14:textId="77777777" w:rsidR="001472EF" w:rsidRPr="00BB6B5D" w:rsidRDefault="001472EF" w:rsidP="00C05C52">
            <w:pPr>
              <w:spacing w:after="0" w:line="240" w:lineRule="auto"/>
              <w:jc w:val="center"/>
              <w:rPr>
                <w:rFonts w:ascii="Times New Roman" w:hAnsi="Times New Roman" w:cs="Times New Roman"/>
                <w:b/>
                <w:sz w:val="28"/>
                <w:szCs w:val="28"/>
              </w:rPr>
            </w:pPr>
          </w:p>
          <w:p w14:paraId="23034BE3" w14:textId="167B911B" w:rsidR="001472EF" w:rsidRPr="00D47A5F" w:rsidRDefault="00D47A5F" w:rsidP="00C05C52">
            <w:pPr>
              <w:spacing w:after="0" w:line="240" w:lineRule="auto"/>
              <w:jc w:val="center"/>
              <w:rPr>
                <w:rFonts w:ascii="Times New Roman" w:hAnsi="Times New Roman" w:cs="Times New Roman"/>
                <w:b/>
                <w:szCs w:val="26"/>
                <w:lang w:val="en-US"/>
              </w:rPr>
            </w:pPr>
            <w:r>
              <w:rPr>
                <w:rFonts w:ascii="Times New Roman" w:eastAsia="Times New Roman" w:hAnsi="Times New Roman" w:cs="Times New Roman"/>
                <w:b/>
                <w:sz w:val="28"/>
                <w:szCs w:val="28"/>
                <w:lang w:val="en-US"/>
              </w:rPr>
              <w:t xml:space="preserve">Nguyễn </w:t>
            </w:r>
            <w:r w:rsidR="00FD057A">
              <w:rPr>
                <w:rFonts w:ascii="Times New Roman" w:eastAsia="Times New Roman" w:hAnsi="Times New Roman" w:cs="Times New Roman"/>
                <w:b/>
                <w:sz w:val="28"/>
                <w:szCs w:val="28"/>
                <w:lang w:val="en-US"/>
              </w:rPr>
              <w:t>Hồng Quang</w:t>
            </w:r>
          </w:p>
        </w:tc>
      </w:tr>
    </w:tbl>
    <w:p w14:paraId="53CB0598" w14:textId="77777777" w:rsidR="001472EF" w:rsidRPr="00C3611F" w:rsidRDefault="001472EF" w:rsidP="00066096">
      <w:pPr>
        <w:rPr>
          <w:rFonts w:ascii="Times New Roman" w:hAnsi="Times New Roman" w:cs="Times New Roman"/>
          <w:sz w:val="28"/>
          <w:szCs w:val="28"/>
        </w:rPr>
      </w:pPr>
    </w:p>
    <w:sectPr w:rsidR="001472EF" w:rsidRPr="00C3611F" w:rsidSect="00C05C52">
      <w:headerReference w:type="default" r:id="rId6"/>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D0F8" w14:textId="77777777" w:rsidR="007A1BBD" w:rsidRDefault="007A1BBD" w:rsidP="00C05C52">
      <w:pPr>
        <w:spacing w:after="0" w:line="240" w:lineRule="auto"/>
      </w:pPr>
      <w:r>
        <w:separator/>
      </w:r>
    </w:p>
  </w:endnote>
  <w:endnote w:type="continuationSeparator" w:id="0">
    <w:p w14:paraId="6E14B1A0" w14:textId="77777777" w:rsidR="007A1BBD" w:rsidRDefault="007A1BBD" w:rsidP="00C0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C0A2" w14:textId="77777777" w:rsidR="007A1BBD" w:rsidRDefault="007A1BBD" w:rsidP="00C05C52">
      <w:pPr>
        <w:spacing w:after="0" w:line="240" w:lineRule="auto"/>
      </w:pPr>
      <w:r>
        <w:separator/>
      </w:r>
    </w:p>
  </w:footnote>
  <w:footnote w:type="continuationSeparator" w:id="0">
    <w:p w14:paraId="45B29D13" w14:textId="77777777" w:rsidR="007A1BBD" w:rsidRDefault="007A1BBD" w:rsidP="00C0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76415"/>
      <w:docPartObj>
        <w:docPartGallery w:val="Page Numbers (Top of Page)"/>
        <w:docPartUnique/>
      </w:docPartObj>
    </w:sdtPr>
    <w:sdtEndPr>
      <w:rPr>
        <w:rFonts w:ascii="Times New Roman" w:hAnsi="Times New Roman" w:cs="Times New Roman"/>
        <w:noProof/>
        <w:sz w:val="28"/>
        <w:szCs w:val="28"/>
      </w:rPr>
    </w:sdtEndPr>
    <w:sdtContent>
      <w:p w14:paraId="202CD6D2" w14:textId="32334CE7" w:rsidR="00C05C52" w:rsidRPr="00CE7D29" w:rsidRDefault="00C05C52" w:rsidP="00CE7D29">
        <w:pPr>
          <w:pStyle w:val="Header"/>
          <w:jc w:val="center"/>
          <w:rPr>
            <w:rFonts w:ascii="Times New Roman" w:hAnsi="Times New Roman" w:cs="Times New Roman"/>
            <w:sz w:val="28"/>
            <w:szCs w:val="28"/>
          </w:rPr>
        </w:pPr>
        <w:r w:rsidRPr="00C05C52">
          <w:rPr>
            <w:rFonts w:ascii="Times New Roman" w:hAnsi="Times New Roman" w:cs="Times New Roman"/>
            <w:sz w:val="28"/>
            <w:szCs w:val="28"/>
          </w:rPr>
          <w:fldChar w:fldCharType="begin"/>
        </w:r>
        <w:r w:rsidRPr="00C05C52">
          <w:rPr>
            <w:rFonts w:ascii="Times New Roman" w:hAnsi="Times New Roman" w:cs="Times New Roman"/>
            <w:sz w:val="28"/>
            <w:szCs w:val="28"/>
          </w:rPr>
          <w:instrText xml:space="preserve"> PAGE   \* MERGEFORMAT </w:instrText>
        </w:r>
        <w:r w:rsidRPr="00C05C52">
          <w:rPr>
            <w:rFonts w:ascii="Times New Roman" w:hAnsi="Times New Roman" w:cs="Times New Roman"/>
            <w:sz w:val="28"/>
            <w:szCs w:val="28"/>
          </w:rPr>
          <w:fldChar w:fldCharType="separate"/>
        </w:r>
        <w:r w:rsidRPr="00C05C52">
          <w:rPr>
            <w:rFonts w:ascii="Times New Roman" w:hAnsi="Times New Roman" w:cs="Times New Roman"/>
            <w:noProof/>
            <w:sz w:val="28"/>
            <w:szCs w:val="28"/>
          </w:rPr>
          <w:t>2</w:t>
        </w:r>
        <w:r w:rsidRPr="00C05C5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57"/>
    <w:rsid w:val="00046E31"/>
    <w:rsid w:val="00047EAD"/>
    <w:rsid w:val="00066096"/>
    <w:rsid w:val="00076A5E"/>
    <w:rsid w:val="000C3218"/>
    <w:rsid w:val="000C3DB0"/>
    <w:rsid w:val="000E5257"/>
    <w:rsid w:val="001472EF"/>
    <w:rsid w:val="00215214"/>
    <w:rsid w:val="0022210B"/>
    <w:rsid w:val="00235416"/>
    <w:rsid w:val="002407CB"/>
    <w:rsid w:val="00253C2D"/>
    <w:rsid w:val="002961E2"/>
    <w:rsid w:val="002F0905"/>
    <w:rsid w:val="00304C2D"/>
    <w:rsid w:val="00317D47"/>
    <w:rsid w:val="003314EA"/>
    <w:rsid w:val="0038575D"/>
    <w:rsid w:val="003B0873"/>
    <w:rsid w:val="003C2B9A"/>
    <w:rsid w:val="003C3767"/>
    <w:rsid w:val="00427093"/>
    <w:rsid w:val="00427663"/>
    <w:rsid w:val="004377D3"/>
    <w:rsid w:val="00456EA9"/>
    <w:rsid w:val="004602C2"/>
    <w:rsid w:val="004A3103"/>
    <w:rsid w:val="004C4FAE"/>
    <w:rsid w:val="0054429B"/>
    <w:rsid w:val="00566170"/>
    <w:rsid w:val="00591863"/>
    <w:rsid w:val="0062282C"/>
    <w:rsid w:val="00623090"/>
    <w:rsid w:val="00660D61"/>
    <w:rsid w:val="00672A87"/>
    <w:rsid w:val="00675DEF"/>
    <w:rsid w:val="00677707"/>
    <w:rsid w:val="006A59F6"/>
    <w:rsid w:val="007043F1"/>
    <w:rsid w:val="00705891"/>
    <w:rsid w:val="007906CC"/>
    <w:rsid w:val="007A1BBD"/>
    <w:rsid w:val="00842E09"/>
    <w:rsid w:val="0086346F"/>
    <w:rsid w:val="00866B3E"/>
    <w:rsid w:val="008A0F4F"/>
    <w:rsid w:val="008B4FF8"/>
    <w:rsid w:val="008D05E5"/>
    <w:rsid w:val="008E611A"/>
    <w:rsid w:val="00931E4B"/>
    <w:rsid w:val="00A261A8"/>
    <w:rsid w:val="00A70DBA"/>
    <w:rsid w:val="00A93EFC"/>
    <w:rsid w:val="00B83A32"/>
    <w:rsid w:val="00B840F1"/>
    <w:rsid w:val="00BB6B5D"/>
    <w:rsid w:val="00BC09EE"/>
    <w:rsid w:val="00BC63FE"/>
    <w:rsid w:val="00C05C52"/>
    <w:rsid w:val="00C13853"/>
    <w:rsid w:val="00C3611F"/>
    <w:rsid w:val="00CA07A3"/>
    <w:rsid w:val="00CE7D29"/>
    <w:rsid w:val="00D034CC"/>
    <w:rsid w:val="00D33732"/>
    <w:rsid w:val="00D47A5F"/>
    <w:rsid w:val="00D51982"/>
    <w:rsid w:val="00D54163"/>
    <w:rsid w:val="00D56641"/>
    <w:rsid w:val="00D66E64"/>
    <w:rsid w:val="00D82377"/>
    <w:rsid w:val="00D829A2"/>
    <w:rsid w:val="00DA44B9"/>
    <w:rsid w:val="00DB7642"/>
    <w:rsid w:val="00DC5F74"/>
    <w:rsid w:val="00DD073E"/>
    <w:rsid w:val="00DD7030"/>
    <w:rsid w:val="00E57AE0"/>
    <w:rsid w:val="00E85698"/>
    <w:rsid w:val="00EA2EFE"/>
    <w:rsid w:val="00ED1C86"/>
    <w:rsid w:val="00F1557F"/>
    <w:rsid w:val="00F320D4"/>
    <w:rsid w:val="00F51048"/>
    <w:rsid w:val="00FB3F5D"/>
    <w:rsid w:val="00FD057A"/>
    <w:rsid w:val="00FD0FD6"/>
    <w:rsid w:val="00FD3616"/>
    <w:rsid w:val="00FE3E57"/>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CC4E"/>
  <w15:chartTrackingRefBased/>
  <w15:docId w15:val="{C633814D-FA00-422A-BA8E-323208C3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6"/>
    <w:rPr>
      <w:rFonts w:ascii="Calibri" w:eastAsia="Calibri" w:hAnsi="Calibri" w:cs="Calibri"/>
      <w:color w:val="000000"/>
      <w:sz w:val="22"/>
      <w:lang w:val="vi-VN"/>
    </w:rPr>
  </w:style>
  <w:style w:type="paragraph" w:styleId="Heading2">
    <w:name w:val="heading 2"/>
    <w:basedOn w:val="Normal"/>
    <w:next w:val="Normal"/>
    <w:link w:val="Heading2Char"/>
    <w:qFormat/>
    <w:rsid w:val="00660D61"/>
    <w:pPr>
      <w:keepNext/>
      <w:spacing w:after="200" w:line="276" w:lineRule="auto"/>
      <w:jc w:val="center"/>
      <w:outlineLvl w:val="1"/>
    </w:pPr>
    <w:rPr>
      <w:rFonts w:ascii="Times New Roman" w:eastAsiaTheme="minorHAnsi" w:hAnsi="Times New Roman" w:cstheme="minorBidi"/>
      <w:b/>
      <w:iCs/>
      <w:color w:val="auto"/>
      <w:sz w:val="24"/>
    </w:rPr>
  </w:style>
  <w:style w:type="paragraph" w:styleId="Heading4">
    <w:name w:val="heading 4"/>
    <w:basedOn w:val="Normal"/>
    <w:next w:val="Normal"/>
    <w:link w:val="Heading4Char"/>
    <w:uiPriority w:val="9"/>
    <w:semiHidden/>
    <w:unhideWhenUsed/>
    <w:qFormat/>
    <w:rsid w:val="003857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9F6"/>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99"/>
    <w:qFormat/>
    <w:rsid w:val="008E611A"/>
    <w:pPr>
      <w:spacing w:before="100" w:beforeAutospacing="1" w:after="200" w:line="273" w:lineRule="auto"/>
      <w:ind w:left="720"/>
      <w:contextualSpacing/>
    </w:pPr>
    <w:rPr>
      <w:rFonts w:eastAsia="Times New Roman" w:cs="Times New Roman"/>
      <w:color w:val="auto"/>
    </w:rPr>
  </w:style>
  <w:style w:type="character" w:customStyle="1" w:styleId="15">
    <w:name w:val="15"/>
    <w:basedOn w:val="DefaultParagraphFont"/>
    <w:rsid w:val="008E611A"/>
    <w:rPr>
      <w:rFonts w:ascii="Calibri" w:hAnsi="Calibri" w:hint="default"/>
      <w:b/>
      <w:bCs/>
    </w:rPr>
  </w:style>
  <w:style w:type="character" w:customStyle="1" w:styleId="Heading2Char">
    <w:name w:val="Heading 2 Char"/>
    <w:basedOn w:val="DefaultParagraphFont"/>
    <w:link w:val="Heading2"/>
    <w:rsid w:val="00660D61"/>
    <w:rPr>
      <w:b/>
      <w:iCs/>
    </w:rPr>
  </w:style>
  <w:style w:type="character" w:customStyle="1" w:styleId="Heading4Char">
    <w:name w:val="Heading 4 Char"/>
    <w:basedOn w:val="DefaultParagraphFont"/>
    <w:link w:val="Heading4"/>
    <w:uiPriority w:val="9"/>
    <w:semiHidden/>
    <w:rsid w:val="0038575D"/>
    <w:rPr>
      <w:rFonts w:asciiTheme="majorHAnsi" w:eastAsiaTheme="majorEastAsia" w:hAnsiTheme="majorHAnsi" w:cstheme="majorBidi"/>
      <w:i/>
      <w:iCs/>
      <w:color w:val="2E74B5" w:themeColor="accent1" w:themeShade="BF"/>
      <w:sz w:val="22"/>
    </w:rPr>
  </w:style>
  <w:style w:type="paragraph" w:styleId="Header">
    <w:name w:val="header"/>
    <w:basedOn w:val="Normal"/>
    <w:link w:val="HeaderChar"/>
    <w:uiPriority w:val="99"/>
    <w:unhideWhenUsed/>
    <w:rsid w:val="00C0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52"/>
    <w:rPr>
      <w:rFonts w:ascii="Calibri" w:eastAsia="Calibri" w:hAnsi="Calibri" w:cs="Calibri"/>
      <w:color w:val="000000"/>
      <w:sz w:val="22"/>
      <w:lang w:val="vi-VN"/>
    </w:rPr>
  </w:style>
  <w:style w:type="paragraph" w:styleId="Footer">
    <w:name w:val="footer"/>
    <w:basedOn w:val="Normal"/>
    <w:link w:val="FooterChar"/>
    <w:uiPriority w:val="99"/>
    <w:unhideWhenUsed/>
    <w:rsid w:val="00C0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52"/>
    <w:rPr>
      <w:rFonts w:ascii="Calibri" w:eastAsia="Calibri" w:hAnsi="Calibri" w:cs="Calibri"/>
      <w:color w:val="000000"/>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7612">
      <w:bodyDiv w:val="1"/>
      <w:marLeft w:val="0"/>
      <w:marRight w:val="0"/>
      <w:marTop w:val="0"/>
      <w:marBottom w:val="0"/>
      <w:divBdr>
        <w:top w:val="none" w:sz="0" w:space="0" w:color="auto"/>
        <w:left w:val="none" w:sz="0" w:space="0" w:color="auto"/>
        <w:bottom w:val="none" w:sz="0" w:space="0" w:color="auto"/>
        <w:right w:val="none" w:sz="0" w:space="0" w:color="auto"/>
      </w:divBdr>
    </w:div>
    <w:div w:id="326203745">
      <w:bodyDiv w:val="1"/>
      <w:marLeft w:val="0"/>
      <w:marRight w:val="0"/>
      <w:marTop w:val="0"/>
      <w:marBottom w:val="0"/>
      <w:divBdr>
        <w:top w:val="none" w:sz="0" w:space="0" w:color="auto"/>
        <w:left w:val="none" w:sz="0" w:space="0" w:color="auto"/>
        <w:bottom w:val="none" w:sz="0" w:space="0" w:color="auto"/>
        <w:right w:val="none" w:sz="0" w:space="0" w:color="auto"/>
      </w:divBdr>
    </w:div>
    <w:div w:id="515114582">
      <w:bodyDiv w:val="1"/>
      <w:marLeft w:val="0"/>
      <w:marRight w:val="0"/>
      <w:marTop w:val="0"/>
      <w:marBottom w:val="0"/>
      <w:divBdr>
        <w:top w:val="none" w:sz="0" w:space="0" w:color="auto"/>
        <w:left w:val="none" w:sz="0" w:space="0" w:color="auto"/>
        <w:bottom w:val="none" w:sz="0" w:space="0" w:color="auto"/>
        <w:right w:val="none" w:sz="0" w:space="0" w:color="auto"/>
      </w:divBdr>
    </w:div>
    <w:div w:id="915480827">
      <w:bodyDiv w:val="1"/>
      <w:marLeft w:val="0"/>
      <w:marRight w:val="0"/>
      <w:marTop w:val="0"/>
      <w:marBottom w:val="0"/>
      <w:divBdr>
        <w:top w:val="none" w:sz="0" w:space="0" w:color="auto"/>
        <w:left w:val="none" w:sz="0" w:space="0" w:color="auto"/>
        <w:bottom w:val="none" w:sz="0" w:space="0" w:color="auto"/>
        <w:right w:val="none" w:sz="0" w:space="0" w:color="auto"/>
      </w:divBdr>
    </w:div>
    <w:div w:id="1237402810">
      <w:bodyDiv w:val="1"/>
      <w:marLeft w:val="0"/>
      <w:marRight w:val="0"/>
      <w:marTop w:val="0"/>
      <w:marBottom w:val="0"/>
      <w:divBdr>
        <w:top w:val="none" w:sz="0" w:space="0" w:color="auto"/>
        <w:left w:val="none" w:sz="0" w:space="0" w:color="auto"/>
        <w:bottom w:val="none" w:sz="0" w:space="0" w:color="auto"/>
        <w:right w:val="none" w:sz="0" w:space="0" w:color="auto"/>
      </w:divBdr>
    </w:div>
    <w:div w:id="1241911893">
      <w:bodyDiv w:val="1"/>
      <w:marLeft w:val="0"/>
      <w:marRight w:val="0"/>
      <w:marTop w:val="0"/>
      <w:marBottom w:val="0"/>
      <w:divBdr>
        <w:top w:val="none" w:sz="0" w:space="0" w:color="auto"/>
        <w:left w:val="none" w:sz="0" w:space="0" w:color="auto"/>
        <w:bottom w:val="none" w:sz="0" w:space="0" w:color="auto"/>
        <w:right w:val="none" w:sz="0" w:space="0" w:color="auto"/>
      </w:divBdr>
    </w:div>
    <w:div w:id="1571309730">
      <w:bodyDiv w:val="1"/>
      <w:marLeft w:val="0"/>
      <w:marRight w:val="0"/>
      <w:marTop w:val="0"/>
      <w:marBottom w:val="0"/>
      <w:divBdr>
        <w:top w:val="none" w:sz="0" w:space="0" w:color="auto"/>
        <w:left w:val="none" w:sz="0" w:space="0" w:color="auto"/>
        <w:bottom w:val="none" w:sz="0" w:space="0" w:color="auto"/>
        <w:right w:val="none" w:sz="0" w:space="0" w:color="auto"/>
      </w:divBdr>
    </w:div>
    <w:div w:id="1580671119">
      <w:bodyDiv w:val="1"/>
      <w:marLeft w:val="0"/>
      <w:marRight w:val="0"/>
      <w:marTop w:val="0"/>
      <w:marBottom w:val="0"/>
      <w:divBdr>
        <w:top w:val="none" w:sz="0" w:space="0" w:color="auto"/>
        <w:left w:val="none" w:sz="0" w:space="0" w:color="auto"/>
        <w:bottom w:val="none" w:sz="0" w:space="0" w:color="auto"/>
        <w:right w:val="none" w:sz="0" w:space="0" w:color="auto"/>
      </w:divBdr>
    </w:div>
    <w:div w:id="16133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cp:lastPrinted>2025-11-05T01:25:00Z</cp:lastPrinted>
  <dcterms:created xsi:type="dcterms:W3CDTF">2026-02-04T07:12:00Z</dcterms:created>
  <dcterms:modified xsi:type="dcterms:W3CDTF">2026-02-04T07:12:00Z</dcterms:modified>
</cp:coreProperties>
</file>